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Cs/>
          <w:sz w:val="46"/>
          <w:szCs w:val="46"/>
        </w:rPr>
      </w:pPr>
      <w:bookmarkStart w:id="0" w:name="_p0sj1kjj8d94"/>
      <w:bookmarkEnd w:id="0"/>
      <w:r>
        <w:rPr>
          <w:b/>
          <w:bCs/>
          <w:sz w:val="46"/>
          <w:szCs w:val="46"/>
        </w:rPr>
        <w:t>Cloud Cost Model – Two-Tier Web Service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1" w:name="_2oq5erk9um8h"/>
      <w:bookmarkEnd w:id="1"/>
      <w:r>
        <w:rPr>
          <w:b/>
          <w:bCs/>
          <w:sz w:val="34"/>
          <w:szCs w:val="34"/>
        </w:rPr>
        <w:t>1. Introduction:</w:t>
      </w:r>
    </w:p>
    <w:p>
      <w:pPr>
        <w:pStyle w:val="normal1"/>
        <w:spacing w:lineRule="auto" w:line="240" w:before="240" w:after="240"/>
        <w:rPr/>
      </w:pPr>
      <w:r>
        <w:rPr/>
        <w:t>This document estimates the monthly cloud infrastructure cost for a two-tier web service under three operating scenarios: Lean, Balanced, and Resilient.</w:t>
      </w:r>
    </w:p>
    <w:p>
      <w:pPr>
        <w:pStyle w:val="normal1"/>
        <w:spacing w:lineRule="auto" w:line="240" w:before="240" w:after="240"/>
        <w:rPr/>
      </w:pPr>
      <w:r>
        <w:rPr/>
        <w:t>The model considers application compute, database, storage, network transfer, logging and monitoring, backups, and support. The budget limits and expected users are based on the provided SLO and cost-envelope worksheet.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Note:</w:t>
      </w:r>
      <w:r>
        <w:rPr/>
        <w:t xml:space="preserve"> The cost allocations below are illustrative planning estimates, not live cloud-provider quotations. Actual costs depend on the cloud provider, region, service configuration, usage, and applicable taxes.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2" w:name="_qnnoxni8lqws"/>
      <w:bookmarkEnd w:id="2"/>
      <w:r>
        <w:rPr>
          <w:b/>
          <w:bCs/>
          <w:sz w:val="34"/>
          <w:szCs w:val="34"/>
        </w:rPr>
        <w:t>2. Scenario Overview:</w:t>
      </w:r>
    </w:p>
    <w:tbl>
      <w:tblPr>
        <w:tblStyle w:val="Table1"/>
        <w:tblW w:w="563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089"/>
        <w:gridCol w:w="1071"/>
        <w:gridCol w:w="1175"/>
        <w:gridCol w:w="1295"/>
      </w:tblGrid>
      <w:tr>
        <w:trPr>
          <w:trHeight w:val="500" w:hRule="atLeast"/>
        </w:trPr>
        <w:tc>
          <w:tcPr>
            <w:tcW w:w="2089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071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Lean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Balanced</w:t>
            </w:r>
          </w:p>
        </w:tc>
        <w:tc>
          <w:tcPr>
            <w:tcW w:w="1295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Resilient</w:t>
            </w:r>
          </w:p>
        </w:tc>
      </w:tr>
      <w:tr>
        <w:trPr>
          <w:trHeight w:val="500" w:hRule="atLeast"/>
        </w:trPr>
        <w:tc>
          <w:tcPr>
            <w:tcW w:w="2089" w:type="dxa"/>
            <w:tcBorders/>
          </w:tcPr>
          <w:p>
            <w:pPr>
              <w:pStyle w:val="normal1"/>
              <w:rPr/>
            </w:pPr>
            <w:r>
              <w:rPr/>
              <w:t>Monthly Budget</w:t>
            </w:r>
          </w:p>
        </w:tc>
        <w:tc>
          <w:tcPr>
            <w:tcW w:w="1071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2,500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8,000</w:t>
            </w:r>
          </w:p>
        </w:tc>
        <w:tc>
          <w:tcPr>
            <w:tcW w:w="129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25,000</w:t>
            </w:r>
          </w:p>
        </w:tc>
      </w:tr>
      <w:tr>
        <w:trPr>
          <w:trHeight w:val="500" w:hRule="atLeast"/>
        </w:trPr>
        <w:tc>
          <w:tcPr>
            <w:tcW w:w="2089" w:type="dxa"/>
            <w:tcBorders/>
          </w:tcPr>
          <w:p>
            <w:pPr>
              <w:pStyle w:val="normal1"/>
              <w:rPr/>
            </w:pPr>
            <w:r>
              <w:rPr/>
              <w:t>Expected Users</w:t>
            </w:r>
          </w:p>
        </w:tc>
        <w:tc>
          <w:tcPr>
            <w:tcW w:w="1071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500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5,000</w:t>
            </w:r>
          </w:p>
        </w:tc>
        <w:tc>
          <w:tcPr>
            <w:tcW w:w="129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25,000</w:t>
            </w:r>
          </w:p>
        </w:tc>
      </w:tr>
      <w:tr>
        <w:trPr>
          <w:trHeight w:val="500" w:hRule="atLeast"/>
        </w:trPr>
        <w:tc>
          <w:tcPr>
            <w:tcW w:w="2089" w:type="dxa"/>
            <w:tcBorders/>
          </w:tcPr>
          <w:p>
            <w:pPr>
              <w:pStyle w:val="normal1"/>
              <w:rPr/>
            </w:pPr>
            <w:r>
              <w:rPr/>
              <w:t>Availability Target</w:t>
            </w:r>
          </w:p>
        </w:tc>
        <w:tc>
          <w:tcPr>
            <w:tcW w:w="1071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99%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99.5%</w:t>
            </w:r>
          </w:p>
        </w:tc>
        <w:tc>
          <w:tcPr>
            <w:tcW w:w="129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99.9%</w:t>
            </w:r>
          </w:p>
        </w:tc>
      </w:tr>
      <w:tr>
        <w:trPr>
          <w:trHeight w:val="500" w:hRule="atLeast"/>
        </w:trPr>
        <w:tc>
          <w:tcPr>
            <w:tcW w:w="2089" w:type="dxa"/>
            <w:tcBorders/>
          </w:tcPr>
          <w:p>
            <w:pPr>
              <w:pStyle w:val="normal1"/>
              <w:rPr/>
            </w:pPr>
            <w:r>
              <w:rPr/>
              <w:t>p95 Latency Target</w:t>
            </w:r>
          </w:p>
        </w:tc>
        <w:tc>
          <w:tcPr>
            <w:tcW w:w="1071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800 ms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500 ms</w:t>
            </w:r>
          </w:p>
        </w:tc>
        <w:tc>
          <w:tcPr>
            <w:tcW w:w="129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300 ms</w:t>
            </w:r>
          </w:p>
        </w:tc>
      </w:tr>
      <w:tr>
        <w:trPr>
          <w:trHeight w:val="500" w:hRule="atLeast"/>
        </w:trPr>
        <w:tc>
          <w:tcPr>
            <w:tcW w:w="2089" w:type="dxa"/>
            <w:tcBorders/>
          </w:tcPr>
          <w:p>
            <w:pPr>
              <w:pStyle w:val="normal1"/>
              <w:rPr/>
            </w:pPr>
            <w:r>
              <w:rPr/>
              <w:t>RTO</w:t>
            </w:r>
          </w:p>
        </w:tc>
        <w:tc>
          <w:tcPr>
            <w:tcW w:w="1071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4 hours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1 hour</w:t>
            </w:r>
          </w:p>
        </w:tc>
        <w:tc>
          <w:tcPr>
            <w:tcW w:w="129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30 minutes</w:t>
            </w:r>
          </w:p>
        </w:tc>
      </w:tr>
      <w:tr>
        <w:trPr>
          <w:trHeight w:val="500" w:hRule="atLeast"/>
        </w:trPr>
        <w:tc>
          <w:tcPr>
            <w:tcW w:w="2089" w:type="dxa"/>
            <w:tcBorders/>
          </w:tcPr>
          <w:p>
            <w:pPr>
              <w:pStyle w:val="normal1"/>
              <w:rPr/>
            </w:pPr>
            <w:r>
              <w:rPr/>
              <w:t>RPO</w:t>
            </w:r>
          </w:p>
        </w:tc>
        <w:tc>
          <w:tcPr>
            <w:tcW w:w="1071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24 hours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1 hour</w:t>
            </w:r>
          </w:p>
        </w:tc>
        <w:tc>
          <w:tcPr>
            <w:tcW w:w="1295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15 minutes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3" w:name="_qwicnkizzofx"/>
      <w:bookmarkEnd w:id="3"/>
      <w:r>
        <w:rPr>
          <w:b/>
          <w:bCs/>
          <w:sz w:val="34"/>
          <w:szCs w:val="34"/>
        </w:rPr>
        <w:t>3. Monthly Cost Breakdown:</w:t>
      </w:r>
    </w:p>
    <w:p>
      <w:pPr>
        <w:pStyle w:val="normal1"/>
        <w:spacing w:lineRule="auto" w:line="240" w:before="240" w:after="240"/>
        <w:rPr/>
      </w:pPr>
      <w:r>
        <w:rPr/>
        <w:t>The following allocations show one possible way to distribute each scenario's budget across the main infrastructure components.</w:t>
      </w:r>
    </w:p>
    <w:tbl>
      <w:tblPr>
        <w:tblStyle w:val="Table2"/>
        <w:tblW w:w="588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690"/>
        <w:gridCol w:w="889"/>
        <w:gridCol w:w="1176"/>
        <w:gridCol w:w="1130"/>
      </w:tblGrid>
      <w:tr>
        <w:trPr>
          <w:trHeight w:val="500" w:hRule="atLeast"/>
        </w:trPr>
        <w:tc>
          <w:tcPr>
            <w:tcW w:w="269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Cost Component</w:t>
            </w:r>
          </w:p>
        </w:tc>
        <w:tc>
          <w:tcPr>
            <w:tcW w:w="889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Lean</w:t>
            </w:r>
          </w:p>
        </w:tc>
        <w:tc>
          <w:tcPr>
            <w:tcW w:w="1176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Balanced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Resilient</w:t>
            </w:r>
          </w:p>
        </w:tc>
      </w:tr>
      <w:tr>
        <w:trPr>
          <w:trHeight w:val="500" w:hRule="atLeast"/>
        </w:trPr>
        <w:tc>
          <w:tcPr>
            <w:tcW w:w="2690" w:type="dxa"/>
            <w:tcBorders/>
          </w:tcPr>
          <w:p>
            <w:pPr>
              <w:pStyle w:val="normal1"/>
              <w:rPr/>
            </w:pPr>
            <w:r>
              <w:rPr/>
              <w:t>Application Compute</w:t>
            </w:r>
          </w:p>
        </w:tc>
        <w:tc>
          <w:tcPr>
            <w:tcW w:w="889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700</w:t>
            </w:r>
          </w:p>
        </w:tc>
        <w:tc>
          <w:tcPr>
            <w:tcW w:w="1176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2,000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6,000</w:t>
            </w:r>
          </w:p>
        </w:tc>
      </w:tr>
      <w:tr>
        <w:trPr>
          <w:trHeight w:val="500" w:hRule="atLeast"/>
        </w:trPr>
        <w:tc>
          <w:tcPr>
            <w:tcW w:w="2690" w:type="dxa"/>
            <w:tcBorders/>
          </w:tcPr>
          <w:p>
            <w:pPr>
              <w:pStyle w:val="normal1"/>
              <w:rPr/>
            </w:pPr>
            <w:r>
              <w:rPr/>
              <w:t>Database</w:t>
            </w:r>
          </w:p>
        </w:tc>
        <w:tc>
          <w:tcPr>
            <w:tcW w:w="889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600</w:t>
            </w:r>
          </w:p>
        </w:tc>
        <w:tc>
          <w:tcPr>
            <w:tcW w:w="1176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1,800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5,000</w:t>
            </w:r>
          </w:p>
        </w:tc>
      </w:tr>
      <w:tr>
        <w:trPr>
          <w:trHeight w:val="500" w:hRule="atLeast"/>
        </w:trPr>
        <w:tc>
          <w:tcPr>
            <w:tcW w:w="2690" w:type="dxa"/>
            <w:tcBorders/>
          </w:tcPr>
          <w:p>
            <w:pPr>
              <w:pStyle w:val="normal1"/>
              <w:rPr/>
            </w:pPr>
            <w:r>
              <w:rPr/>
              <w:t>Storage</w:t>
            </w:r>
          </w:p>
        </w:tc>
        <w:tc>
          <w:tcPr>
            <w:tcW w:w="889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200</w:t>
            </w:r>
          </w:p>
        </w:tc>
        <w:tc>
          <w:tcPr>
            <w:tcW w:w="1176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600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1,500</w:t>
            </w:r>
          </w:p>
        </w:tc>
      </w:tr>
      <w:tr>
        <w:trPr>
          <w:trHeight w:val="500" w:hRule="atLeast"/>
        </w:trPr>
        <w:tc>
          <w:tcPr>
            <w:tcW w:w="2690" w:type="dxa"/>
            <w:tcBorders/>
          </w:tcPr>
          <w:p>
            <w:pPr>
              <w:pStyle w:val="normal1"/>
              <w:rPr/>
            </w:pPr>
            <w:r>
              <w:rPr/>
              <w:t>Network Transfer</w:t>
            </w:r>
          </w:p>
        </w:tc>
        <w:tc>
          <w:tcPr>
            <w:tcW w:w="889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250</w:t>
            </w:r>
          </w:p>
        </w:tc>
        <w:tc>
          <w:tcPr>
            <w:tcW w:w="1176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800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3,000</w:t>
            </w:r>
          </w:p>
        </w:tc>
      </w:tr>
      <w:tr>
        <w:trPr>
          <w:trHeight w:val="500" w:hRule="atLeast"/>
        </w:trPr>
        <w:tc>
          <w:tcPr>
            <w:tcW w:w="2690" w:type="dxa"/>
            <w:tcBorders/>
          </w:tcPr>
          <w:p>
            <w:pPr>
              <w:pStyle w:val="normal1"/>
              <w:rPr/>
            </w:pPr>
            <w:r>
              <w:rPr/>
              <w:t>Logging and Monitoring</w:t>
            </w:r>
          </w:p>
        </w:tc>
        <w:tc>
          <w:tcPr>
            <w:tcW w:w="889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200</w:t>
            </w:r>
          </w:p>
        </w:tc>
        <w:tc>
          <w:tcPr>
            <w:tcW w:w="1176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700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2,000</w:t>
            </w:r>
          </w:p>
        </w:tc>
      </w:tr>
      <w:tr>
        <w:trPr>
          <w:trHeight w:val="500" w:hRule="atLeast"/>
        </w:trPr>
        <w:tc>
          <w:tcPr>
            <w:tcW w:w="2690" w:type="dxa"/>
            <w:tcBorders/>
          </w:tcPr>
          <w:p>
            <w:pPr>
              <w:pStyle w:val="normal1"/>
              <w:rPr/>
            </w:pPr>
            <w:r>
              <w:rPr/>
              <w:t>Backup and Recovery</w:t>
            </w:r>
          </w:p>
        </w:tc>
        <w:tc>
          <w:tcPr>
            <w:tcW w:w="889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250</w:t>
            </w:r>
          </w:p>
        </w:tc>
        <w:tc>
          <w:tcPr>
            <w:tcW w:w="1176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900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4,000</w:t>
            </w:r>
          </w:p>
        </w:tc>
      </w:tr>
      <w:tr>
        <w:trPr>
          <w:trHeight w:val="500" w:hRule="atLeast"/>
        </w:trPr>
        <w:tc>
          <w:tcPr>
            <w:tcW w:w="2690" w:type="dxa"/>
            <w:tcBorders/>
          </w:tcPr>
          <w:p>
            <w:pPr>
              <w:pStyle w:val="normal1"/>
              <w:rPr/>
            </w:pPr>
            <w:r>
              <w:rPr/>
              <w:t>Support and Contingency</w:t>
            </w:r>
          </w:p>
        </w:tc>
        <w:tc>
          <w:tcPr>
            <w:tcW w:w="889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300</w:t>
            </w:r>
          </w:p>
        </w:tc>
        <w:tc>
          <w:tcPr>
            <w:tcW w:w="1176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1,200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3,500</w:t>
            </w:r>
          </w:p>
        </w:tc>
      </w:tr>
      <w:tr>
        <w:trPr>
          <w:trHeight w:val="500" w:hRule="atLeast"/>
        </w:trPr>
        <w:tc>
          <w:tcPr>
            <w:tcW w:w="2690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Total Monthly Budget</w:t>
            </w:r>
          </w:p>
        </w:tc>
        <w:tc>
          <w:tcPr>
            <w:tcW w:w="889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2,500</w:t>
            </w:r>
          </w:p>
        </w:tc>
        <w:tc>
          <w:tcPr>
            <w:tcW w:w="1176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8,000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25,000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/>
        <w:t>These figures are budget allocations for planning purposes. They should be validated against actual provider pricing before deployment.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4" w:name="_9aku5gm5hgns"/>
      <w:bookmarkEnd w:id="4"/>
      <w:r>
        <w:rPr>
          <w:b/>
          <w:bCs/>
          <w:sz w:val="34"/>
          <w:szCs w:val="34"/>
        </w:rPr>
        <w:t>4. Annual Budget Estimate:</w:t>
      </w:r>
    </w:p>
    <w:p>
      <w:pPr>
        <w:pStyle w:val="normal1"/>
        <w:spacing w:lineRule="auto" w:line="240" w:before="240" w:after="240"/>
        <w:rPr/>
      </w:pPr>
      <w:r>
        <w:rPr/>
        <w:t>Annual estimates are calculated by multiplying the monthly budget by 12.</w:t>
      </w:r>
    </w:p>
    <w:tbl>
      <w:tblPr>
        <w:tblStyle w:val="Table3"/>
        <w:tblW w:w="591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129"/>
        <w:gridCol w:w="1911"/>
        <w:gridCol w:w="2870"/>
      </w:tblGrid>
      <w:tr>
        <w:trPr>
          <w:trHeight w:val="500" w:hRule="atLeast"/>
        </w:trPr>
        <w:tc>
          <w:tcPr>
            <w:tcW w:w="1129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Scenario</w:t>
            </w:r>
          </w:p>
        </w:tc>
        <w:tc>
          <w:tcPr>
            <w:tcW w:w="1911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Monthly Budget</w:t>
            </w:r>
          </w:p>
        </w:tc>
        <w:tc>
          <w:tcPr>
            <w:tcW w:w="2870" w:type="dxa"/>
            <w:tcBorders/>
          </w:tcPr>
          <w:p>
            <w:pPr>
              <w:pStyle w:val="normal1"/>
              <w:jc w:val="end"/>
              <w:rPr/>
            </w:pPr>
            <w:r>
              <w:rPr>
                <w:b/>
                <w:bCs/>
              </w:rPr>
              <w:t>Estimated Annual Budget</w:t>
            </w:r>
          </w:p>
        </w:tc>
      </w:tr>
      <w:tr>
        <w:trPr>
          <w:trHeight w:val="500" w:hRule="atLeast"/>
        </w:trPr>
        <w:tc>
          <w:tcPr>
            <w:tcW w:w="1129" w:type="dxa"/>
            <w:tcBorders/>
          </w:tcPr>
          <w:p>
            <w:pPr>
              <w:pStyle w:val="normal1"/>
              <w:rPr/>
            </w:pPr>
            <w:r>
              <w:rPr/>
              <w:t>Lean</w:t>
            </w:r>
          </w:p>
        </w:tc>
        <w:tc>
          <w:tcPr>
            <w:tcW w:w="1911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2,500</w:t>
            </w:r>
          </w:p>
        </w:tc>
        <w:tc>
          <w:tcPr>
            <w:tcW w:w="287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30,000</w:t>
            </w:r>
          </w:p>
        </w:tc>
      </w:tr>
      <w:tr>
        <w:trPr>
          <w:trHeight w:val="500" w:hRule="atLeast"/>
        </w:trPr>
        <w:tc>
          <w:tcPr>
            <w:tcW w:w="1129" w:type="dxa"/>
            <w:tcBorders/>
          </w:tcPr>
          <w:p>
            <w:pPr>
              <w:pStyle w:val="normal1"/>
              <w:rPr/>
            </w:pPr>
            <w:r>
              <w:rPr/>
              <w:t>Balanced</w:t>
            </w:r>
          </w:p>
        </w:tc>
        <w:tc>
          <w:tcPr>
            <w:tcW w:w="1911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8,000</w:t>
            </w:r>
          </w:p>
        </w:tc>
        <w:tc>
          <w:tcPr>
            <w:tcW w:w="287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96,000</w:t>
            </w:r>
          </w:p>
        </w:tc>
      </w:tr>
      <w:tr>
        <w:trPr>
          <w:trHeight w:val="500" w:hRule="atLeast"/>
        </w:trPr>
        <w:tc>
          <w:tcPr>
            <w:tcW w:w="1129" w:type="dxa"/>
            <w:tcBorders/>
          </w:tcPr>
          <w:p>
            <w:pPr>
              <w:pStyle w:val="normal1"/>
              <w:rPr/>
            </w:pPr>
            <w:r>
              <w:rPr/>
              <w:t>Resilient</w:t>
            </w:r>
          </w:p>
        </w:tc>
        <w:tc>
          <w:tcPr>
            <w:tcW w:w="1911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25,000</w:t>
            </w:r>
          </w:p>
        </w:tc>
        <w:tc>
          <w:tcPr>
            <w:tcW w:w="2870" w:type="dxa"/>
            <w:tcBorders/>
          </w:tcPr>
          <w:p>
            <w:pPr>
              <w:pStyle w:val="normal1"/>
              <w:jc w:val="end"/>
              <w:rPr/>
            </w:pPr>
            <w:r>
              <w:rPr/>
              <w:t>₹</w:t>
            </w:r>
            <w:r>
              <w:rPr/>
              <w:t>3,00,000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/>
        <w:t>These estimates assume the monthly budget remains constant throughout the year. They exclude unexpected usage increases, price changes, and taxes unless included in the selected budget.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5" w:name="_r8ympmq8nnni"/>
      <w:bookmarkEnd w:id="5"/>
      <w:r>
        <w:rPr>
          <w:b/>
          <w:bCs/>
          <w:sz w:val="34"/>
          <w:szCs w:val="34"/>
        </w:rPr>
        <w:t>5. Scenario Design: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" w:name="_brp6spoy9ok"/>
      <w:bookmarkEnd w:id="6"/>
      <w:r>
        <w:rPr>
          <w:b/>
          <w:bCs/>
          <w:color w:val="000000"/>
          <w:sz w:val="26"/>
          <w:szCs w:val="26"/>
        </w:rPr>
        <w:t>Lean Scenario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Designed for approximately 500 expected users.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Uses a small application deployment and cost-effective database configuration.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Uses basic monitoring and scheduled backups.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Targets 99% availability.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Suitable for prototypes, demonstrations, and low-traffic applications.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" w:name="_7tvn33ldgt8h"/>
      <w:bookmarkEnd w:id="7"/>
      <w:r>
        <w:rPr>
          <w:b/>
          <w:bCs/>
          <w:color w:val="000000"/>
          <w:sz w:val="26"/>
          <w:szCs w:val="26"/>
        </w:rPr>
        <w:t>Balanced Scenario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Designed for approximately 5,000 expected users.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Provides more application and database capacity.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Includes regular monitoring, backups, and recovery procedures.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Targets 99.5% availability.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Suitable for applications with moderate traffic and growing usage.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" w:name="_7wbqc1w8btnc"/>
      <w:bookmarkEnd w:id="8"/>
      <w:r>
        <w:rPr>
          <w:b/>
          <w:bCs/>
          <w:color w:val="000000"/>
          <w:sz w:val="26"/>
          <w:szCs w:val="26"/>
        </w:rPr>
        <w:t>Resilient Scenario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Designed for approximately 25,000 expected users.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Allocates more budget to compute, database capacity, monitoring, and recovery.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Requires stronger backup and recovery arrangements to support the tighter RTO and RPO targets.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Targets 99.9% availability.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Suitable for higher traffic and services that require improved reliability.</w:t>
      </w:r>
    </w:p>
    <w:p>
      <w:pPr>
        <w:pStyle w:val="normal1"/>
        <w:spacing w:lineRule="auto" w:line="240" w:before="240" w:after="240"/>
        <w:rPr/>
      </w:pPr>
      <w:r>
        <w:rPr/>
        <w:t>The exact infrastructure design must be tested to confirm that it can meet the stated availability, latency, and recovery targets.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9" w:name="_d9dsrjc86i8w"/>
      <w:bookmarkEnd w:id="9"/>
      <w:r>
        <w:rPr>
          <w:b/>
          <w:bCs/>
          <w:sz w:val="34"/>
          <w:szCs w:val="34"/>
        </w:rPr>
        <w:t>6. Cost Optimization Strategies: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Right-size compute:</w:t>
      </w:r>
      <w:r>
        <w:rPr/>
        <w:t xml:space="preserve"> Select instance sizes based on measured CPU and memory usage.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Optimize the database:</w:t>
      </w:r>
      <w:r>
        <w:rPr/>
        <w:t xml:space="preserve"> Use appropriate indexes, connection pooling, and query optimization.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Control storage:</w:t>
      </w:r>
      <w:r>
        <w:rPr/>
        <w:t xml:space="preserve"> Remove unnecessary files and apply suitable retention policies.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Reduce network costs:</w:t>
      </w:r>
      <w:r>
        <w:rPr/>
        <w:t xml:space="preserve"> Compress responses and avoid unnecessary data transfers.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Manage logs:</w:t>
      </w:r>
      <w:r>
        <w:rPr/>
        <w:t xml:space="preserve"> Retain operational logs for an appropriate period and avoid excessive logging.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Review backups:</w:t>
      </w:r>
      <w:r>
        <w:rPr/>
        <w:t xml:space="preserve"> Balance backup frequency, retention, and recovery requirements.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Monitor spending:</w:t>
      </w:r>
      <w:r>
        <w:rPr/>
        <w:t xml:space="preserve"> Set budget alerts and review usage regularly.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Scale when needed:</w:t>
      </w:r>
      <w:r>
        <w:rPr/>
        <w:t xml:space="preserve"> Use autoscaling where supported and appropriate for the workload.</w:t>
      </w:r>
    </w:p>
    <w:p>
      <w:pPr>
        <w:pStyle w:val="normal1"/>
        <w:spacing w:lineRule="auto" w:line="240" w:before="240" w:after="240"/>
        <w:rPr/>
      </w:pPr>
      <w:r>
        <w:rPr/>
        <w:t>Cost reductions should not compromise security, data integrity, or required recovery objectives.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10" w:name="_tiy2oobuy1rb"/>
      <w:bookmarkEnd w:id="10"/>
      <w:r>
        <w:rPr>
          <w:b/>
          <w:bCs/>
          <w:sz w:val="34"/>
          <w:szCs w:val="34"/>
        </w:rPr>
        <w:t>7. Assumptions and Limitations: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The three monthly budget limits come from the provided planning worksheet.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The component-level cost allocations are illustrative estimates and are not verified market prices.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Actual costs vary by provider, region, compute capacity, database configuration, storage volume, traffic, and support plan.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Free-tier credits and discounts are not assumed.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Taxes and one-time migration costs are not separately included.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The expected user counts are planning inputs, not guaranteed capacity limits.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Load testing, cost monitoring, and provider price checks are required before production deployment.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11" w:name="_h48xzy0iywj"/>
      <w:bookmarkEnd w:id="11"/>
      <w:r>
        <w:rPr>
          <w:b/>
          <w:bCs/>
          <w:sz w:val="34"/>
          <w:szCs w:val="34"/>
        </w:rPr>
        <w:t>8. Conclusion:</w:t>
      </w:r>
    </w:p>
    <w:p>
      <w:pPr>
        <w:pStyle w:val="normal1"/>
        <w:spacing w:lineRule="auto" w:line="240" w:before="240" w:after="240"/>
        <w:rPr/>
      </w:pPr>
      <w:r>
        <w:rPr/>
        <w:t>The Lean, Balanced, and Resilient scenarios provide three budget options for different user loads and reliability requirements. The monthly budgets are ₹2,500, ₹8,000, and ₹25,000 respectively. Actual infrastructure costs and performance should be validated before selecting a production configuration.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Wingdings">
    <w:charset w:val="02"/>
    <w:family w:val="auto"/>
    <w:pitch w:val="default"/>
    <w:embedRegular r:id="rId18" w:fontKey="{12014A78-CABC-4EF0-12AC-5CD89AEFDE12}"/>
    <w:embedBold r:id="rId19" w:fontKey="{13014A78-CABC-4EF0-12AC-5CD89AEFDE13}"/>
  </w:font>
  <w:font w:name="Wingdings 2">
    <w:charset w:val="02"/>
    <w:family w:val="auto"/>
    <w:pitch w:val="default"/>
    <w:embedRegular r:id="rId20" w:fontKey="{14014A78-CABC-4EF0-12AC-5CD89AEFDE14}"/>
    <w:embedBold r:id="rId21" w:fontKey="{15014A78-CABC-4EF0-12AC-5CD89AEFDE15}"/>
  </w:font>
  <w:font w:name="OpenSymbol">
    <w:altName w:val="Arial Unicode MS"/>
    <w:charset w:val="01"/>
    <w:family w:val="auto"/>
    <w:pitch w:val="default"/>
    <w:embedRegular r:id="rId22" w:fontKey="{16014A78-CABC-4EF0-12AC-5CD89AEFDE16}"/>
    <w:embedBold r:id="rId23" w:fontKey="{17014A78-CABC-4EF0-12AC-5CD89AEFDE1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4</Pages>
  <Words>664</Words>
  <Characters>4108</Characters>
  <CharactersWithSpaces>4615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2026-10-28T15:03:54Z</dcterms:modified>
  <cp:revision>1</cp:revision>
  <dc:subject/>
  <dc:title/>
</cp:coreProperties>
</file>