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23.odttf" ContentType="application/vnd.openxmlformats-officedocument.obfuscatedFont"/>
  <Override PartName="/word/fonts/font18.odttf" ContentType="application/vnd.openxmlformats-officedocument.obfuscatedFont"/>
  <Override PartName="/word/fonts/font22.odttf" ContentType="application/vnd.openxmlformats-officedocument.obfuscatedFont"/>
  <Override PartName="/word/fonts/font19.odttf" ContentType="application/vnd.openxmlformats-officedocument.obfuscatedFont"/>
  <Override PartName="/word/fonts/font20.odttf" ContentType="application/vnd.openxmlformats-officedocument.obfuscatedFont"/>
  <Override PartName="/word/fonts/font21.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false"/>
        <w:keepLines w:val="false"/>
        <w:spacing w:lineRule="auto" w:line="240" w:before="480" w:after="120"/>
        <w:jc w:val="center"/>
        <w:rPr>
          <w:b/>
          <w:bCs/>
          <w:sz w:val="46"/>
          <w:szCs w:val="46"/>
        </w:rPr>
      </w:pPr>
      <w:bookmarkStart w:id="0" w:name="_mp9nene6xlx5"/>
      <w:bookmarkEnd w:id="0"/>
      <w:r>
        <w:rPr>
          <w:b/>
          <w:bCs/>
          <w:sz w:val="46"/>
          <w:szCs w:val="46"/>
        </w:rPr>
        <w:t>SLO &amp; Error Budget – Two-Tier Web Service</w:t>
      </w:r>
    </w:p>
    <w:p>
      <w:pPr>
        <w:pStyle w:val="Heading2"/>
        <w:keepNext w:val="false"/>
        <w:keepLines w:val="false"/>
        <w:spacing w:lineRule="auto" w:line="240" w:before="360" w:after="80"/>
        <w:rPr>
          <w:b/>
          <w:bCs/>
          <w:sz w:val="34"/>
          <w:szCs w:val="34"/>
        </w:rPr>
      </w:pPr>
      <w:r>
        <w:rPr>
          <w:b/>
          <w:bCs/>
          <w:sz w:val="34"/>
          <w:szCs w:val="34"/>
        </w:rPr>
      </w:r>
    </w:p>
    <w:p>
      <w:pPr>
        <w:pStyle w:val="Heading2"/>
        <w:spacing w:lineRule="auto" w:line="240" w:before="360" w:after="80"/>
        <w:rPr>
          <w:b/>
          <w:bCs/>
          <w:sz w:val="34"/>
          <w:szCs w:val="34"/>
        </w:rPr>
      </w:pPr>
      <w:bookmarkStart w:id="1" w:name="_p9dh2hy1y5dn"/>
      <w:bookmarkEnd w:id="1"/>
      <w:r>
        <w:rPr>
          <w:b/>
          <w:bCs/>
          <w:sz w:val="34"/>
          <w:szCs w:val="34"/>
        </w:rPr>
        <w:t>1. Introduction:</w:t>
      </w:r>
    </w:p>
    <w:p>
      <w:pPr>
        <w:pStyle w:val="normal1"/>
        <w:spacing w:lineRule="auto" w:line="240" w:before="240" w:after="240"/>
        <w:rPr/>
      </w:pPr>
      <w:r>
        <w:rPr/>
        <w:t>Service Level Indicators (SLIs), Service Level Objectives (SLOs), and error budgets help measure the reliability and performance of a web service. They help the team monitor service health, respond to incidents, and balance reliability with development activities.</w:t>
      </w:r>
    </w:p>
    <w:p>
      <w:pPr>
        <w:pStyle w:val="normal1"/>
        <w:spacing w:lineRule="auto" w:line="240" w:before="240" w:after="240"/>
        <w:rPr/>
      </w:pPr>
      <w:r>
        <w:rPr/>
        <w:t>This document defines three service scenarios: Lean, Balanced, and Resilient. The targets are based on the provided SLO and cost-envelope worksheet.</w:t>
      </w:r>
    </w:p>
    <w:p>
      <w:pPr>
        <w:pStyle w:val="Heading2"/>
        <w:keepNext w:val="false"/>
        <w:keepLines w:val="false"/>
        <w:spacing w:lineRule="auto" w:line="240" w:before="360" w:after="80"/>
        <w:rPr>
          <w:b/>
          <w:bCs/>
          <w:sz w:val="34"/>
          <w:szCs w:val="34"/>
        </w:rPr>
      </w:pPr>
      <w:r>
        <w:rPr>
          <w:b/>
          <w:bCs/>
          <w:sz w:val="34"/>
          <w:szCs w:val="34"/>
        </w:rPr>
      </w:r>
      <w:bookmarkStart w:id="2" w:name="_vw3v6skow7oa"/>
      <w:bookmarkStart w:id="3" w:name="_vw3v6skow7oa"/>
      <w:bookmarkEnd w:id="3"/>
    </w:p>
    <w:p>
      <w:pPr>
        <w:pStyle w:val="Heading2"/>
        <w:keepNext w:val="false"/>
        <w:keepLines w:val="false"/>
        <w:spacing w:lineRule="auto" w:line="240" w:before="360" w:after="80"/>
        <w:rPr>
          <w:b/>
          <w:bCs/>
          <w:sz w:val="34"/>
          <w:szCs w:val="34"/>
        </w:rPr>
      </w:pPr>
      <w:bookmarkStart w:id="4" w:name="_nxdf0psmenaa"/>
      <w:bookmarkEnd w:id="4"/>
      <w:r>
        <w:rPr>
          <w:b/>
          <w:bCs/>
          <w:sz w:val="34"/>
          <w:szCs w:val="34"/>
        </w:rPr>
        <w:t>2. Service Level Indicators (SLIs):</w:t>
      </w:r>
    </w:p>
    <w:p>
      <w:pPr>
        <w:pStyle w:val="normal1"/>
        <w:spacing w:lineRule="auto" w:line="240" w:before="240" w:after="240"/>
        <w:rPr/>
      </w:pPr>
      <w:r>
        <w:rPr/>
        <w:t>SLIs are measurable values used to evaluate the service's reliability and performance.</w:t>
      </w:r>
    </w:p>
    <w:tbl>
      <w:tblPr>
        <w:tblStyle w:val="Table1"/>
        <w:tblW w:w="9026" w:type="dxa"/>
        <w:jc w:val="start"/>
        <w:tblInd w:w="0" w:type="dxa"/>
        <w:tblLayout w:type="fixed"/>
        <w:tblCellMar>
          <w:top w:w="100" w:type="dxa"/>
          <w:start w:w="100" w:type="dxa"/>
          <w:bottom w:w="100" w:type="dxa"/>
          <w:end w:w="100" w:type="dxa"/>
        </w:tblCellMar>
        <w:tblLook w:val="0600"/>
      </w:tblPr>
      <w:tblGrid>
        <w:gridCol w:w="1547"/>
        <w:gridCol w:w="4187"/>
        <w:gridCol w:w="3292"/>
      </w:tblGrid>
      <w:tr>
        <w:trPr>
          <w:trHeight w:val="500" w:hRule="atLeast"/>
        </w:trPr>
        <w:tc>
          <w:tcPr>
            <w:tcW w:w="1547" w:type="dxa"/>
            <w:tcBorders/>
          </w:tcPr>
          <w:p>
            <w:pPr>
              <w:pStyle w:val="normal1"/>
              <w:jc w:val="center"/>
              <w:rPr/>
            </w:pPr>
            <w:r>
              <w:rPr>
                <w:b/>
                <w:bCs/>
              </w:rPr>
              <w:t>SLI</w:t>
            </w:r>
          </w:p>
        </w:tc>
        <w:tc>
          <w:tcPr>
            <w:tcW w:w="4187" w:type="dxa"/>
            <w:tcBorders/>
          </w:tcPr>
          <w:p>
            <w:pPr>
              <w:pStyle w:val="normal1"/>
              <w:jc w:val="center"/>
              <w:rPr/>
            </w:pPr>
            <w:r>
              <w:rPr>
                <w:b/>
                <w:bCs/>
              </w:rPr>
              <w:t>Description</w:t>
            </w:r>
          </w:p>
        </w:tc>
        <w:tc>
          <w:tcPr>
            <w:tcW w:w="3292" w:type="dxa"/>
            <w:tcBorders/>
          </w:tcPr>
          <w:p>
            <w:pPr>
              <w:pStyle w:val="normal1"/>
              <w:jc w:val="center"/>
              <w:rPr/>
            </w:pPr>
            <w:r>
              <w:rPr>
                <w:b/>
                <w:bCs/>
              </w:rPr>
              <w:t>Measurement</w:t>
            </w:r>
          </w:p>
        </w:tc>
      </w:tr>
      <w:tr>
        <w:trPr>
          <w:trHeight w:val="770" w:hRule="atLeast"/>
        </w:trPr>
        <w:tc>
          <w:tcPr>
            <w:tcW w:w="1547" w:type="dxa"/>
            <w:tcBorders/>
          </w:tcPr>
          <w:p>
            <w:pPr>
              <w:pStyle w:val="normal1"/>
              <w:rPr/>
            </w:pPr>
            <w:r>
              <w:rPr/>
              <w:t>Availability</w:t>
            </w:r>
          </w:p>
        </w:tc>
        <w:tc>
          <w:tcPr>
            <w:tcW w:w="4187" w:type="dxa"/>
            <w:tcBorders/>
          </w:tcPr>
          <w:p>
            <w:pPr>
              <w:pStyle w:val="normal1"/>
              <w:rPr/>
            </w:pPr>
            <w:r>
              <w:rPr/>
              <w:t>Measures whether the service successfully handles valid requests</w:t>
            </w:r>
          </w:p>
        </w:tc>
        <w:tc>
          <w:tcPr>
            <w:tcW w:w="3292" w:type="dxa"/>
            <w:tcBorders/>
          </w:tcPr>
          <w:p>
            <w:pPr>
              <w:pStyle w:val="normal1"/>
              <w:rPr/>
            </w:pPr>
            <w:r>
              <w:rPr/>
              <w:t>Successful requests ÷ Total valid requests × 100</w:t>
            </w:r>
          </w:p>
        </w:tc>
      </w:tr>
      <w:tr>
        <w:trPr>
          <w:trHeight w:val="770" w:hRule="atLeast"/>
        </w:trPr>
        <w:tc>
          <w:tcPr>
            <w:tcW w:w="1547" w:type="dxa"/>
            <w:tcBorders/>
          </w:tcPr>
          <w:p>
            <w:pPr>
              <w:pStyle w:val="normal1"/>
              <w:rPr/>
            </w:pPr>
            <w:r>
              <w:rPr/>
              <w:t>Latency</w:t>
            </w:r>
          </w:p>
        </w:tc>
        <w:tc>
          <w:tcPr>
            <w:tcW w:w="4187" w:type="dxa"/>
            <w:tcBorders/>
          </w:tcPr>
          <w:p>
            <w:pPr>
              <w:pStyle w:val="normal1"/>
              <w:rPr/>
            </w:pPr>
            <w:r>
              <w:rPr/>
              <w:t>Measures how quickly the service responds</w:t>
            </w:r>
          </w:p>
        </w:tc>
        <w:tc>
          <w:tcPr>
            <w:tcW w:w="3292" w:type="dxa"/>
            <w:tcBorders/>
          </w:tcPr>
          <w:p>
            <w:pPr>
              <w:pStyle w:val="normal1"/>
              <w:rPr/>
            </w:pPr>
            <w:r>
              <w:rPr/>
              <w:t>95th percentile (p95) response time</w:t>
            </w:r>
          </w:p>
        </w:tc>
      </w:tr>
      <w:tr>
        <w:trPr>
          <w:trHeight w:val="770" w:hRule="atLeast"/>
        </w:trPr>
        <w:tc>
          <w:tcPr>
            <w:tcW w:w="1547" w:type="dxa"/>
            <w:tcBorders/>
          </w:tcPr>
          <w:p>
            <w:pPr>
              <w:pStyle w:val="normal1"/>
              <w:rPr/>
            </w:pPr>
            <w:r>
              <w:rPr/>
              <w:t>Error Rate</w:t>
            </w:r>
          </w:p>
        </w:tc>
        <w:tc>
          <w:tcPr>
            <w:tcW w:w="4187" w:type="dxa"/>
            <w:tcBorders/>
          </w:tcPr>
          <w:p>
            <w:pPr>
              <w:pStyle w:val="normal1"/>
              <w:rPr/>
            </w:pPr>
            <w:r>
              <w:rPr/>
              <w:t>Measures the percentage of failed requests</w:t>
            </w:r>
          </w:p>
        </w:tc>
        <w:tc>
          <w:tcPr>
            <w:tcW w:w="3292" w:type="dxa"/>
            <w:tcBorders/>
          </w:tcPr>
          <w:p>
            <w:pPr>
              <w:pStyle w:val="normal1"/>
              <w:rPr/>
            </w:pPr>
            <w:r>
              <w:rPr/>
              <w:t>Failed requests ÷ Total requests × 100</w:t>
            </w:r>
          </w:p>
        </w:tc>
      </w:tr>
      <w:tr>
        <w:trPr>
          <w:trHeight w:val="770" w:hRule="atLeast"/>
        </w:trPr>
        <w:tc>
          <w:tcPr>
            <w:tcW w:w="1547" w:type="dxa"/>
            <w:tcBorders/>
          </w:tcPr>
          <w:p>
            <w:pPr>
              <w:pStyle w:val="normal1"/>
              <w:rPr/>
            </w:pPr>
            <w:r>
              <w:rPr/>
              <w:t>Database Health</w:t>
            </w:r>
          </w:p>
        </w:tc>
        <w:tc>
          <w:tcPr>
            <w:tcW w:w="4187" w:type="dxa"/>
            <w:tcBorders/>
          </w:tcPr>
          <w:p>
            <w:pPr>
              <w:pStyle w:val="normal1"/>
              <w:rPr/>
            </w:pPr>
            <w:r>
              <w:rPr/>
              <w:t>Measures database responsiveness and connection health</w:t>
            </w:r>
          </w:p>
        </w:tc>
        <w:tc>
          <w:tcPr>
            <w:tcW w:w="3292" w:type="dxa"/>
            <w:tcBorders/>
          </w:tcPr>
          <w:p>
            <w:pPr>
              <w:pStyle w:val="normal1"/>
              <w:rPr/>
            </w:pPr>
            <w:r>
              <w:rPr/>
              <w:t>Query latency and connection errors</w:t>
            </w:r>
          </w:p>
        </w:tc>
      </w:tr>
    </w:tbl>
    <w:p>
      <w:pPr>
        <w:pStyle w:val="Heading2"/>
        <w:keepNext w:val="false"/>
        <w:keepLines w:val="false"/>
        <w:spacing w:lineRule="auto" w:line="240" w:before="360" w:after="80"/>
        <w:rPr>
          <w:b/>
          <w:bCs/>
          <w:sz w:val="34"/>
          <w:szCs w:val="34"/>
        </w:rPr>
      </w:pPr>
      <w:r>
        <w:rPr>
          <w:b/>
          <w:bCs/>
          <w:sz w:val="34"/>
          <w:szCs w:val="34"/>
        </w:rPr>
      </w:r>
    </w:p>
    <w:p>
      <w:pPr>
        <w:pStyle w:val="Heading2"/>
        <w:spacing w:lineRule="auto" w:line="240" w:before="360" w:after="80"/>
        <w:rPr>
          <w:b/>
          <w:bCs/>
          <w:sz w:val="34"/>
          <w:szCs w:val="34"/>
        </w:rPr>
      </w:pPr>
      <w:r>
        <w:rPr>
          <w:b/>
          <w:bCs/>
          <w:sz w:val="34"/>
          <w:szCs w:val="34"/>
        </w:rPr>
      </w:r>
    </w:p>
    <w:p>
      <w:pPr>
        <w:pStyle w:val="Heading2"/>
        <w:spacing w:lineRule="auto" w:line="240" w:before="360" w:after="80"/>
        <w:rPr>
          <w:b/>
          <w:bCs/>
          <w:sz w:val="34"/>
          <w:szCs w:val="34"/>
        </w:rPr>
      </w:pPr>
      <w:bookmarkStart w:id="5" w:name="_ulbux9xy855"/>
      <w:bookmarkEnd w:id="5"/>
      <w:r>
        <w:rPr>
          <w:b/>
          <w:bCs/>
          <w:sz w:val="34"/>
          <w:szCs w:val="34"/>
        </w:rPr>
        <w:t>3. Service Level Objectives (SLOs):</w:t>
      </w:r>
    </w:p>
    <w:p>
      <w:pPr>
        <w:pStyle w:val="normal1"/>
        <w:spacing w:lineRule="auto" w:line="240" w:before="240" w:after="240"/>
        <w:rPr/>
      </w:pPr>
      <w:r>
        <w:rPr/>
        <w:t>SLOs define the target availability and response time for each operating scenario.</w:t>
      </w:r>
    </w:p>
    <w:tbl>
      <w:tblPr>
        <w:tblStyle w:val="Table2"/>
        <w:tblW w:w="6935" w:type="dxa"/>
        <w:jc w:val="start"/>
        <w:tblInd w:w="0" w:type="dxa"/>
        <w:tblLayout w:type="fixed"/>
        <w:tblCellMar>
          <w:top w:w="100" w:type="dxa"/>
          <w:start w:w="100" w:type="dxa"/>
          <w:bottom w:w="100" w:type="dxa"/>
          <w:end w:w="100" w:type="dxa"/>
        </w:tblCellMar>
        <w:tblLook w:val="0600"/>
      </w:tblPr>
      <w:tblGrid>
        <w:gridCol w:w="3394"/>
        <w:gridCol w:w="1070"/>
        <w:gridCol w:w="1176"/>
        <w:gridCol w:w="1295"/>
      </w:tblGrid>
      <w:tr>
        <w:trPr>
          <w:trHeight w:val="500" w:hRule="atLeast"/>
        </w:trPr>
        <w:tc>
          <w:tcPr>
            <w:tcW w:w="3394" w:type="dxa"/>
            <w:tcBorders/>
          </w:tcPr>
          <w:p>
            <w:pPr>
              <w:pStyle w:val="normal1"/>
              <w:jc w:val="center"/>
              <w:rPr/>
            </w:pPr>
            <w:r>
              <w:rPr>
                <w:b/>
                <w:bCs/>
              </w:rPr>
              <w:t>Metric</w:t>
            </w:r>
          </w:p>
        </w:tc>
        <w:tc>
          <w:tcPr>
            <w:tcW w:w="1070" w:type="dxa"/>
            <w:tcBorders/>
          </w:tcPr>
          <w:p>
            <w:pPr>
              <w:pStyle w:val="normal1"/>
              <w:jc w:val="end"/>
              <w:rPr/>
            </w:pPr>
            <w:r>
              <w:rPr>
                <w:b/>
                <w:bCs/>
              </w:rPr>
              <w:t>Lean</w:t>
            </w:r>
          </w:p>
        </w:tc>
        <w:tc>
          <w:tcPr>
            <w:tcW w:w="1176" w:type="dxa"/>
            <w:tcBorders/>
          </w:tcPr>
          <w:p>
            <w:pPr>
              <w:pStyle w:val="normal1"/>
              <w:jc w:val="end"/>
              <w:rPr/>
            </w:pPr>
            <w:r>
              <w:rPr>
                <w:b/>
                <w:bCs/>
              </w:rPr>
              <w:t>Balanced</w:t>
            </w:r>
          </w:p>
        </w:tc>
        <w:tc>
          <w:tcPr>
            <w:tcW w:w="1295" w:type="dxa"/>
            <w:tcBorders/>
          </w:tcPr>
          <w:p>
            <w:pPr>
              <w:pStyle w:val="normal1"/>
              <w:jc w:val="end"/>
              <w:rPr/>
            </w:pPr>
            <w:r>
              <w:rPr>
                <w:b/>
                <w:bCs/>
              </w:rPr>
              <w:t>Resilient</w:t>
            </w:r>
          </w:p>
        </w:tc>
      </w:tr>
      <w:tr>
        <w:trPr>
          <w:trHeight w:val="500" w:hRule="atLeast"/>
        </w:trPr>
        <w:tc>
          <w:tcPr>
            <w:tcW w:w="3394" w:type="dxa"/>
            <w:tcBorders/>
          </w:tcPr>
          <w:p>
            <w:pPr>
              <w:pStyle w:val="normal1"/>
              <w:rPr/>
            </w:pPr>
            <w:r>
              <w:rPr/>
              <w:t>Monthly Budget</w:t>
            </w:r>
          </w:p>
        </w:tc>
        <w:tc>
          <w:tcPr>
            <w:tcW w:w="1070" w:type="dxa"/>
            <w:tcBorders/>
          </w:tcPr>
          <w:p>
            <w:pPr>
              <w:pStyle w:val="normal1"/>
              <w:jc w:val="end"/>
              <w:rPr/>
            </w:pPr>
            <w:r>
              <w:rPr/>
              <w:t>₹</w:t>
            </w:r>
            <w:r>
              <w:rPr/>
              <w:t>2,500</w:t>
            </w:r>
          </w:p>
        </w:tc>
        <w:tc>
          <w:tcPr>
            <w:tcW w:w="1176" w:type="dxa"/>
            <w:tcBorders/>
          </w:tcPr>
          <w:p>
            <w:pPr>
              <w:pStyle w:val="normal1"/>
              <w:jc w:val="end"/>
              <w:rPr/>
            </w:pPr>
            <w:r>
              <w:rPr/>
              <w:t>₹</w:t>
            </w:r>
            <w:r>
              <w:rPr/>
              <w:t>8,000</w:t>
            </w:r>
          </w:p>
        </w:tc>
        <w:tc>
          <w:tcPr>
            <w:tcW w:w="1295" w:type="dxa"/>
            <w:tcBorders/>
          </w:tcPr>
          <w:p>
            <w:pPr>
              <w:pStyle w:val="normal1"/>
              <w:jc w:val="end"/>
              <w:rPr/>
            </w:pPr>
            <w:r>
              <w:rPr/>
              <w:t>₹</w:t>
            </w:r>
            <w:r>
              <w:rPr/>
              <w:t>25,000</w:t>
            </w:r>
          </w:p>
        </w:tc>
      </w:tr>
      <w:tr>
        <w:trPr>
          <w:trHeight w:val="500" w:hRule="atLeast"/>
        </w:trPr>
        <w:tc>
          <w:tcPr>
            <w:tcW w:w="3394" w:type="dxa"/>
            <w:tcBorders/>
          </w:tcPr>
          <w:p>
            <w:pPr>
              <w:pStyle w:val="normal1"/>
              <w:rPr/>
            </w:pPr>
            <w:r>
              <w:rPr/>
              <w:t>Availability Target</w:t>
            </w:r>
          </w:p>
        </w:tc>
        <w:tc>
          <w:tcPr>
            <w:tcW w:w="1070" w:type="dxa"/>
            <w:tcBorders/>
          </w:tcPr>
          <w:p>
            <w:pPr>
              <w:pStyle w:val="normal1"/>
              <w:jc w:val="end"/>
              <w:rPr/>
            </w:pPr>
            <w:r>
              <w:rPr/>
              <w:t>99%</w:t>
            </w:r>
          </w:p>
        </w:tc>
        <w:tc>
          <w:tcPr>
            <w:tcW w:w="1176" w:type="dxa"/>
            <w:tcBorders/>
          </w:tcPr>
          <w:p>
            <w:pPr>
              <w:pStyle w:val="normal1"/>
              <w:jc w:val="end"/>
              <w:rPr/>
            </w:pPr>
            <w:r>
              <w:rPr/>
              <w:t>99.5%</w:t>
            </w:r>
          </w:p>
        </w:tc>
        <w:tc>
          <w:tcPr>
            <w:tcW w:w="1295" w:type="dxa"/>
            <w:tcBorders/>
          </w:tcPr>
          <w:p>
            <w:pPr>
              <w:pStyle w:val="normal1"/>
              <w:jc w:val="end"/>
              <w:rPr/>
            </w:pPr>
            <w:r>
              <w:rPr/>
              <w:t>99.9%</w:t>
            </w:r>
          </w:p>
        </w:tc>
      </w:tr>
      <w:tr>
        <w:trPr>
          <w:trHeight w:val="500" w:hRule="atLeast"/>
        </w:trPr>
        <w:tc>
          <w:tcPr>
            <w:tcW w:w="3394" w:type="dxa"/>
            <w:tcBorders/>
          </w:tcPr>
          <w:p>
            <w:pPr>
              <w:pStyle w:val="normal1"/>
              <w:rPr/>
            </w:pPr>
            <w:r>
              <w:rPr/>
              <w:t>p95 Latency Target</w:t>
            </w:r>
          </w:p>
        </w:tc>
        <w:tc>
          <w:tcPr>
            <w:tcW w:w="1070" w:type="dxa"/>
            <w:tcBorders/>
          </w:tcPr>
          <w:p>
            <w:pPr>
              <w:pStyle w:val="normal1"/>
              <w:jc w:val="end"/>
              <w:rPr/>
            </w:pPr>
            <w:r>
              <w:rPr/>
              <w:t>800 ms</w:t>
            </w:r>
          </w:p>
        </w:tc>
        <w:tc>
          <w:tcPr>
            <w:tcW w:w="1176" w:type="dxa"/>
            <w:tcBorders/>
          </w:tcPr>
          <w:p>
            <w:pPr>
              <w:pStyle w:val="normal1"/>
              <w:jc w:val="end"/>
              <w:rPr/>
            </w:pPr>
            <w:r>
              <w:rPr/>
              <w:t>500 ms</w:t>
            </w:r>
          </w:p>
        </w:tc>
        <w:tc>
          <w:tcPr>
            <w:tcW w:w="1295" w:type="dxa"/>
            <w:tcBorders/>
          </w:tcPr>
          <w:p>
            <w:pPr>
              <w:pStyle w:val="normal1"/>
              <w:jc w:val="end"/>
              <w:rPr/>
            </w:pPr>
            <w:r>
              <w:rPr/>
              <w:t>300 ms</w:t>
            </w:r>
          </w:p>
        </w:tc>
      </w:tr>
      <w:tr>
        <w:trPr>
          <w:trHeight w:val="500" w:hRule="atLeast"/>
        </w:trPr>
        <w:tc>
          <w:tcPr>
            <w:tcW w:w="3394" w:type="dxa"/>
            <w:tcBorders/>
          </w:tcPr>
          <w:p>
            <w:pPr>
              <w:pStyle w:val="normal1"/>
              <w:rPr/>
            </w:pPr>
            <w:r>
              <w:rPr/>
              <w:t>Recovery Point Objective (RPO)</w:t>
            </w:r>
          </w:p>
        </w:tc>
        <w:tc>
          <w:tcPr>
            <w:tcW w:w="1070" w:type="dxa"/>
            <w:tcBorders/>
          </w:tcPr>
          <w:p>
            <w:pPr>
              <w:pStyle w:val="normal1"/>
              <w:jc w:val="end"/>
              <w:rPr/>
            </w:pPr>
            <w:r>
              <w:rPr/>
              <w:t>24 hours</w:t>
            </w:r>
          </w:p>
        </w:tc>
        <w:tc>
          <w:tcPr>
            <w:tcW w:w="1176" w:type="dxa"/>
            <w:tcBorders/>
          </w:tcPr>
          <w:p>
            <w:pPr>
              <w:pStyle w:val="normal1"/>
              <w:jc w:val="end"/>
              <w:rPr/>
            </w:pPr>
            <w:r>
              <w:rPr/>
              <w:t>1 hour</w:t>
            </w:r>
          </w:p>
        </w:tc>
        <w:tc>
          <w:tcPr>
            <w:tcW w:w="1295" w:type="dxa"/>
            <w:tcBorders/>
          </w:tcPr>
          <w:p>
            <w:pPr>
              <w:pStyle w:val="normal1"/>
              <w:jc w:val="end"/>
              <w:rPr/>
            </w:pPr>
            <w:r>
              <w:rPr/>
              <w:t>15 minutes</w:t>
            </w:r>
          </w:p>
        </w:tc>
      </w:tr>
      <w:tr>
        <w:trPr>
          <w:trHeight w:val="500" w:hRule="atLeast"/>
        </w:trPr>
        <w:tc>
          <w:tcPr>
            <w:tcW w:w="3394" w:type="dxa"/>
            <w:tcBorders/>
          </w:tcPr>
          <w:p>
            <w:pPr>
              <w:pStyle w:val="normal1"/>
              <w:rPr/>
            </w:pPr>
            <w:r>
              <w:rPr/>
              <w:t>Recovery Time Objective (RTO)</w:t>
            </w:r>
          </w:p>
        </w:tc>
        <w:tc>
          <w:tcPr>
            <w:tcW w:w="1070" w:type="dxa"/>
            <w:tcBorders/>
          </w:tcPr>
          <w:p>
            <w:pPr>
              <w:pStyle w:val="normal1"/>
              <w:jc w:val="end"/>
              <w:rPr/>
            </w:pPr>
            <w:r>
              <w:rPr/>
              <w:t>4 hours</w:t>
            </w:r>
          </w:p>
        </w:tc>
        <w:tc>
          <w:tcPr>
            <w:tcW w:w="1176" w:type="dxa"/>
            <w:tcBorders/>
          </w:tcPr>
          <w:p>
            <w:pPr>
              <w:pStyle w:val="normal1"/>
              <w:jc w:val="end"/>
              <w:rPr/>
            </w:pPr>
            <w:r>
              <w:rPr/>
              <w:t>1 hour</w:t>
            </w:r>
          </w:p>
        </w:tc>
        <w:tc>
          <w:tcPr>
            <w:tcW w:w="1295" w:type="dxa"/>
            <w:tcBorders/>
          </w:tcPr>
          <w:p>
            <w:pPr>
              <w:pStyle w:val="normal1"/>
              <w:jc w:val="end"/>
              <w:rPr/>
            </w:pPr>
            <w:r>
              <w:rPr/>
              <w:t>30 minutes</w:t>
            </w:r>
          </w:p>
        </w:tc>
      </w:tr>
      <w:tr>
        <w:trPr>
          <w:trHeight w:val="500" w:hRule="atLeast"/>
        </w:trPr>
        <w:tc>
          <w:tcPr>
            <w:tcW w:w="3394" w:type="dxa"/>
            <w:tcBorders/>
          </w:tcPr>
          <w:p>
            <w:pPr>
              <w:pStyle w:val="normal1"/>
              <w:rPr/>
            </w:pPr>
            <w:r>
              <w:rPr/>
              <w:t>Expected Users</w:t>
            </w:r>
          </w:p>
        </w:tc>
        <w:tc>
          <w:tcPr>
            <w:tcW w:w="1070" w:type="dxa"/>
            <w:tcBorders/>
          </w:tcPr>
          <w:p>
            <w:pPr>
              <w:pStyle w:val="normal1"/>
              <w:jc w:val="end"/>
              <w:rPr/>
            </w:pPr>
            <w:r>
              <w:rPr/>
              <w:t>500</w:t>
            </w:r>
          </w:p>
        </w:tc>
        <w:tc>
          <w:tcPr>
            <w:tcW w:w="1176" w:type="dxa"/>
            <w:tcBorders/>
          </w:tcPr>
          <w:p>
            <w:pPr>
              <w:pStyle w:val="normal1"/>
              <w:jc w:val="end"/>
              <w:rPr/>
            </w:pPr>
            <w:r>
              <w:rPr/>
              <w:t>5,000</w:t>
            </w:r>
          </w:p>
        </w:tc>
        <w:tc>
          <w:tcPr>
            <w:tcW w:w="1295" w:type="dxa"/>
            <w:tcBorders/>
          </w:tcPr>
          <w:p>
            <w:pPr>
              <w:pStyle w:val="normal1"/>
              <w:jc w:val="end"/>
              <w:rPr/>
            </w:pPr>
            <w:r>
              <w:rPr/>
              <w:t>25,000</w:t>
            </w:r>
          </w:p>
        </w:tc>
      </w:tr>
    </w:tbl>
    <w:p>
      <w:pPr>
        <w:pStyle w:val="normal1"/>
        <w:spacing w:lineRule="auto" w:line="240" w:before="240" w:after="240"/>
        <w:rPr/>
      </w:pPr>
      <w:r>
        <w:rPr/>
        <w:t>These are target values from the planning worksheet. Actual service performance must be measured using monitoring data.</w:t>
      </w:r>
    </w:p>
    <w:p>
      <w:pPr>
        <w:pStyle w:val="Heading2"/>
        <w:keepNext w:val="false"/>
        <w:keepLines w:val="false"/>
        <w:spacing w:lineRule="auto" w:line="240" w:before="360" w:after="80"/>
        <w:rPr>
          <w:b/>
          <w:bCs/>
          <w:sz w:val="34"/>
          <w:szCs w:val="34"/>
        </w:rPr>
      </w:pPr>
      <w:r>
        <w:rPr>
          <w:b/>
          <w:bCs/>
          <w:sz w:val="34"/>
          <w:szCs w:val="34"/>
        </w:rPr>
      </w:r>
    </w:p>
    <w:p>
      <w:pPr>
        <w:pStyle w:val="Heading2"/>
        <w:spacing w:lineRule="auto" w:line="240" w:before="360" w:after="80"/>
        <w:rPr>
          <w:b/>
          <w:bCs/>
          <w:sz w:val="34"/>
          <w:szCs w:val="34"/>
        </w:rPr>
      </w:pPr>
      <w:bookmarkStart w:id="6" w:name="_f5uvmgxv1v7h"/>
      <w:bookmarkEnd w:id="6"/>
      <w:r>
        <w:rPr>
          <w:b/>
          <w:bCs/>
          <w:sz w:val="34"/>
          <w:szCs w:val="34"/>
        </w:rPr>
        <w:t>4. Error Budget Calculation:</w:t>
      </w:r>
    </w:p>
    <w:p>
      <w:pPr>
        <w:pStyle w:val="normal1"/>
        <w:spacing w:lineRule="auto" w:line="240" w:before="240" w:after="240"/>
        <w:rPr/>
      </w:pPr>
      <w:r>
        <w:rPr/>
        <w:t>An error budget is the amount of unreliability permitted while still meeting the availability SLO.</w:t>
      </w:r>
    </w:p>
    <w:p>
      <w:pPr>
        <w:pStyle w:val="normal1"/>
        <w:spacing w:lineRule="auto" w:line="240" w:before="240" w:after="240"/>
        <w:rPr>
          <w:b/>
          <w:bCs/>
        </w:rPr>
      </w:pPr>
      <w:r>
        <w:rPr>
          <w:b/>
          <w:bCs/>
        </w:rPr>
        <w:t>Formula:</w:t>
      </w:r>
    </w:p>
    <w:p>
      <w:pPr>
        <w:pStyle w:val="normal1"/>
        <w:spacing w:lineRule="auto" w:line="240" w:before="240" w:after="240"/>
        <w:rPr/>
      </w:pPr>
      <w:r>
        <w:rPr>
          <w:rFonts w:eastAsia="Arial Unicode MS" w:cs="Arial Unicode MS" w:ascii="Arial Unicode MS" w:hAnsi="Arial Unicode MS"/>
        </w:rPr>
        <w:t>Error Budget = 100% − Availability SLO</w:t>
      </w:r>
    </w:p>
    <w:p>
      <w:pPr>
        <w:pStyle w:val="normal1"/>
        <w:spacing w:lineRule="auto" w:line="240" w:before="240" w:after="240"/>
        <w:rPr/>
      </w:pPr>
      <w:r>
        <w:rPr/>
        <w:t>For a 30-day month containing 43,200 minutes:</w:t>
      </w:r>
    </w:p>
    <w:p>
      <w:pPr>
        <w:pStyle w:val="normal1"/>
        <w:spacing w:lineRule="auto" w:line="240" w:before="240" w:after="240"/>
        <w:rPr/>
      </w:pPr>
      <w:r>
        <w:rPr>
          <w:rFonts w:eastAsia="Arial Unicode MS" w:cs="Arial Unicode MS" w:ascii="Arial Unicode MS" w:hAnsi="Arial Unicode MS"/>
        </w:rPr>
        <w:t>Allowed Downtime = 43,200 × (1 − Availability Target)</w:t>
      </w:r>
    </w:p>
    <w:tbl>
      <w:tblPr>
        <w:tblStyle w:val="Table3"/>
        <w:tblW w:w="8330" w:type="dxa"/>
        <w:jc w:val="start"/>
        <w:tblInd w:w="0" w:type="dxa"/>
        <w:tblLayout w:type="fixed"/>
        <w:tblCellMar>
          <w:top w:w="100" w:type="dxa"/>
          <w:start w:w="100" w:type="dxa"/>
          <w:bottom w:w="100" w:type="dxa"/>
          <w:end w:w="100" w:type="dxa"/>
        </w:tblCellMar>
        <w:tblLook w:val="0600"/>
      </w:tblPr>
      <w:tblGrid>
        <w:gridCol w:w="1130"/>
        <w:gridCol w:w="1954"/>
        <w:gridCol w:w="1610"/>
        <w:gridCol w:w="3636"/>
      </w:tblGrid>
      <w:tr>
        <w:trPr>
          <w:trHeight w:val="500" w:hRule="atLeast"/>
        </w:trPr>
        <w:tc>
          <w:tcPr>
            <w:tcW w:w="1130" w:type="dxa"/>
            <w:tcBorders/>
          </w:tcPr>
          <w:p>
            <w:pPr>
              <w:pStyle w:val="normal1"/>
              <w:jc w:val="center"/>
              <w:rPr/>
            </w:pPr>
            <w:r>
              <w:rPr>
                <w:b/>
                <w:bCs/>
              </w:rPr>
              <w:t>Scenario</w:t>
            </w:r>
          </w:p>
        </w:tc>
        <w:tc>
          <w:tcPr>
            <w:tcW w:w="1954" w:type="dxa"/>
            <w:tcBorders/>
          </w:tcPr>
          <w:p>
            <w:pPr>
              <w:pStyle w:val="normal1"/>
              <w:jc w:val="end"/>
              <w:rPr/>
            </w:pPr>
            <w:r>
              <w:rPr>
                <w:b/>
                <w:bCs/>
              </w:rPr>
              <w:t>Availability SLO</w:t>
            </w:r>
          </w:p>
        </w:tc>
        <w:tc>
          <w:tcPr>
            <w:tcW w:w="1610" w:type="dxa"/>
            <w:tcBorders/>
          </w:tcPr>
          <w:p>
            <w:pPr>
              <w:pStyle w:val="normal1"/>
              <w:jc w:val="end"/>
              <w:rPr/>
            </w:pPr>
            <w:r>
              <w:rPr>
                <w:b/>
                <w:bCs/>
              </w:rPr>
              <w:t>Error Budget</w:t>
            </w:r>
          </w:p>
        </w:tc>
        <w:tc>
          <w:tcPr>
            <w:tcW w:w="3636" w:type="dxa"/>
            <w:tcBorders/>
          </w:tcPr>
          <w:p>
            <w:pPr>
              <w:pStyle w:val="normal1"/>
              <w:jc w:val="end"/>
              <w:rPr/>
            </w:pPr>
            <w:r>
              <w:rPr>
                <w:b/>
                <w:bCs/>
              </w:rPr>
              <w:t>Approximate Monthly Downtime</w:t>
            </w:r>
          </w:p>
        </w:tc>
      </w:tr>
      <w:tr>
        <w:trPr>
          <w:trHeight w:val="500" w:hRule="atLeast"/>
        </w:trPr>
        <w:tc>
          <w:tcPr>
            <w:tcW w:w="1130" w:type="dxa"/>
            <w:tcBorders/>
          </w:tcPr>
          <w:p>
            <w:pPr>
              <w:pStyle w:val="normal1"/>
              <w:rPr/>
            </w:pPr>
            <w:r>
              <w:rPr/>
              <w:t>Lean</w:t>
            </w:r>
          </w:p>
        </w:tc>
        <w:tc>
          <w:tcPr>
            <w:tcW w:w="1954" w:type="dxa"/>
            <w:tcBorders/>
          </w:tcPr>
          <w:p>
            <w:pPr>
              <w:pStyle w:val="normal1"/>
              <w:jc w:val="end"/>
              <w:rPr/>
            </w:pPr>
            <w:r>
              <w:rPr/>
              <w:t>99%</w:t>
            </w:r>
          </w:p>
        </w:tc>
        <w:tc>
          <w:tcPr>
            <w:tcW w:w="1610" w:type="dxa"/>
            <w:tcBorders/>
          </w:tcPr>
          <w:p>
            <w:pPr>
              <w:pStyle w:val="normal1"/>
              <w:jc w:val="end"/>
              <w:rPr/>
            </w:pPr>
            <w:r>
              <w:rPr/>
              <w:t>1%</w:t>
            </w:r>
          </w:p>
        </w:tc>
        <w:tc>
          <w:tcPr>
            <w:tcW w:w="3636" w:type="dxa"/>
            <w:tcBorders/>
          </w:tcPr>
          <w:p>
            <w:pPr>
              <w:pStyle w:val="normal1"/>
              <w:jc w:val="end"/>
              <w:rPr/>
            </w:pPr>
            <w:r>
              <w:rPr/>
              <w:t>432 minutes (7 hours 12 minutes)</w:t>
            </w:r>
          </w:p>
        </w:tc>
      </w:tr>
      <w:tr>
        <w:trPr>
          <w:trHeight w:val="500" w:hRule="atLeast"/>
        </w:trPr>
        <w:tc>
          <w:tcPr>
            <w:tcW w:w="1130" w:type="dxa"/>
            <w:tcBorders/>
          </w:tcPr>
          <w:p>
            <w:pPr>
              <w:pStyle w:val="normal1"/>
              <w:rPr/>
            </w:pPr>
            <w:r>
              <w:rPr/>
              <w:t>Balanced</w:t>
            </w:r>
          </w:p>
        </w:tc>
        <w:tc>
          <w:tcPr>
            <w:tcW w:w="1954" w:type="dxa"/>
            <w:tcBorders/>
          </w:tcPr>
          <w:p>
            <w:pPr>
              <w:pStyle w:val="normal1"/>
              <w:jc w:val="end"/>
              <w:rPr/>
            </w:pPr>
            <w:r>
              <w:rPr/>
              <w:t>99.5%</w:t>
            </w:r>
          </w:p>
        </w:tc>
        <w:tc>
          <w:tcPr>
            <w:tcW w:w="1610" w:type="dxa"/>
            <w:tcBorders/>
          </w:tcPr>
          <w:p>
            <w:pPr>
              <w:pStyle w:val="normal1"/>
              <w:jc w:val="end"/>
              <w:rPr/>
            </w:pPr>
            <w:r>
              <w:rPr/>
              <w:t>0.5%</w:t>
            </w:r>
          </w:p>
        </w:tc>
        <w:tc>
          <w:tcPr>
            <w:tcW w:w="3636" w:type="dxa"/>
            <w:tcBorders/>
          </w:tcPr>
          <w:p>
            <w:pPr>
              <w:pStyle w:val="normal1"/>
              <w:jc w:val="end"/>
              <w:rPr/>
            </w:pPr>
            <w:r>
              <w:rPr/>
              <w:t>216 minutes (3 hours 36 minutes)</w:t>
            </w:r>
          </w:p>
        </w:tc>
      </w:tr>
      <w:tr>
        <w:trPr>
          <w:trHeight w:val="500" w:hRule="atLeast"/>
        </w:trPr>
        <w:tc>
          <w:tcPr>
            <w:tcW w:w="1130" w:type="dxa"/>
            <w:tcBorders/>
          </w:tcPr>
          <w:p>
            <w:pPr>
              <w:pStyle w:val="normal1"/>
              <w:rPr/>
            </w:pPr>
            <w:r>
              <w:rPr/>
              <w:t>Resilient</w:t>
            </w:r>
          </w:p>
        </w:tc>
        <w:tc>
          <w:tcPr>
            <w:tcW w:w="1954" w:type="dxa"/>
            <w:tcBorders/>
          </w:tcPr>
          <w:p>
            <w:pPr>
              <w:pStyle w:val="normal1"/>
              <w:jc w:val="end"/>
              <w:rPr/>
            </w:pPr>
            <w:r>
              <w:rPr/>
              <w:t>99.9%</w:t>
            </w:r>
          </w:p>
        </w:tc>
        <w:tc>
          <w:tcPr>
            <w:tcW w:w="1610" w:type="dxa"/>
            <w:tcBorders/>
          </w:tcPr>
          <w:p>
            <w:pPr>
              <w:pStyle w:val="normal1"/>
              <w:jc w:val="end"/>
              <w:rPr/>
            </w:pPr>
            <w:r>
              <w:rPr/>
              <w:t>0.1%</w:t>
            </w:r>
          </w:p>
        </w:tc>
        <w:tc>
          <w:tcPr>
            <w:tcW w:w="3636" w:type="dxa"/>
            <w:tcBorders/>
          </w:tcPr>
          <w:p>
            <w:pPr>
              <w:pStyle w:val="normal1"/>
              <w:jc w:val="end"/>
              <w:rPr/>
            </w:pPr>
            <w:r>
              <w:rPr/>
              <w:t>43.2 minutes</w:t>
            </w:r>
          </w:p>
        </w:tc>
      </w:tr>
    </w:tbl>
    <w:p>
      <w:pPr>
        <w:pStyle w:val="normal1"/>
        <w:spacing w:lineRule="auto" w:line="240" w:before="240" w:after="240"/>
        <w:rPr/>
      </w:pPr>
      <w:r>
        <w:rPr/>
        <w:t>These downtime figures assume a 30-day month. The actual error budget should be calculated using the agreed measurement window and availability definition.</w:t>
      </w:r>
    </w:p>
    <w:p>
      <w:pPr>
        <w:pStyle w:val="Heading2"/>
        <w:keepNext w:val="false"/>
        <w:keepLines w:val="false"/>
        <w:spacing w:lineRule="auto" w:line="240" w:before="360" w:after="80"/>
        <w:rPr>
          <w:b/>
          <w:bCs/>
          <w:sz w:val="34"/>
          <w:szCs w:val="34"/>
        </w:rPr>
      </w:pPr>
      <w:r>
        <w:rPr>
          <w:b/>
          <w:bCs/>
          <w:sz w:val="34"/>
          <w:szCs w:val="34"/>
        </w:rPr>
      </w:r>
    </w:p>
    <w:p>
      <w:pPr>
        <w:pStyle w:val="Heading2"/>
        <w:spacing w:lineRule="auto" w:line="240" w:before="360" w:after="80"/>
        <w:rPr>
          <w:b/>
          <w:bCs/>
          <w:sz w:val="34"/>
          <w:szCs w:val="34"/>
        </w:rPr>
      </w:pPr>
      <w:bookmarkStart w:id="7" w:name="_6yn3aipa44g5"/>
      <w:bookmarkEnd w:id="7"/>
      <w:r>
        <w:rPr>
          <w:b/>
          <w:bCs/>
          <w:sz w:val="34"/>
          <w:szCs w:val="34"/>
        </w:rPr>
        <w:t>5. Alerting and Paging Thresholds:</w:t>
      </w:r>
    </w:p>
    <w:p>
      <w:pPr>
        <w:pStyle w:val="normal1"/>
        <w:spacing w:lineRule="auto" w:line="240" w:before="240" w:after="240"/>
        <w:rPr/>
      </w:pPr>
      <w:r>
        <w:rPr/>
        <w:t>The following are proposed operational alert thresholds. They are recommendations for monitoring and are not separate targets specified in the original worksheet.</w:t>
      </w:r>
    </w:p>
    <w:tbl>
      <w:tblPr>
        <w:tblStyle w:val="Table4"/>
        <w:tblW w:w="9026" w:type="dxa"/>
        <w:jc w:val="start"/>
        <w:tblInd w:w="0" w:type="dxa"/>
        <w:tblLayout w:type="fixed"/>
        <w:tblCellMar>
          <w:top w:w="100" w:type="dxa"/>
          <w:start w:w="100" w:type="dxa"/>
          <w:bottom w:w="100" w:type="dxa"/>
          <w:end w:w="100" w:type="dxa"/>
        </w:tblCellMar>
        <w:tblLook w:val="0600"/>
      </w:tblPr>
      <w:tblGrid>
        <w:gridCol w:w="1490"/>
        <w:gridCol w:w="4114"/>
        <w:gridCol w:w="3422"/>
      </w:tblGrid>
      <w:tr>
        <w:trPr>
          <w:trHeight w:val="500" w:hRule="atLeast"/>
        </w:trPr>
        <w:tc>
          <w:tcPr>
            <w:tcW w:w="1490" w:type="dxa"/>
            <w:tcBorders/>
          </w:tcPr>
          <w:p>
            <w:pPr>
              <w:pStyle w:val="normal1"/>
              <w:jc w:val="center"/>
              <w:rPr/>
            </w:pPr>
            <w:r>
              <w:rPr>
                <w:b/>
                <w:bCs/>
              </w:rPr>
              <w:t>Severity</w:t>
            </w:r>
          </w:p>
        </w:tc>
        <w:tc>
          <w:tcPr>
            <w:tcW w:w="4114" w:type="dxa"/>
            <w:tcBorders/>
          </w:tcPr>
          <w:p>
            <w:pPr>
              <w:pStyle w:val="normal1"/>
              <w:jc w:val="center"/>
              <w:rPr/>
            </w:pPr>
            <w:r>
              <w:rPr>
                <w:b/>
                <w:bCs/>
              </w:rPr>
              <w:t>Condition</w:t>
            </w:r>
          </w:p>
        </w:tc>
        <w:tc>
          <w:tcPr>
            <w:tcW w:w="3422" w:type="dxa"/>
            <w:tcBorders/>
          </w:tcPr>
          <w:p>
            <w:pPr>
              <w:pStyle w:val="normal1"/>
              <w:jc w:val="center"/>
              <w:rPr/>
            </w:pPr>
            <w:r>
              <w:rPr>
                <w:b/>
                <w:bCs/>
              </w:rPr>
              <w:t>Action</w:t>
            </w:r>
          </w:p>
        </w:tc>
      </w:tr>
      <w:tr>
        <w:trPr>
          <w:trHeight w:val="770" w:hRule="atLeast"/>
        </w:trPr>
        <w:tc>
          <w:tcPr>
            <w:tcW w:w="1490" w:type="dxa"/>
            <w:tcBorders/>
          </w:tcPr>
          <w:p>
            <w:pPr>
              <w:pStyle w:val="normal1"/>
              <w:rPr/>
            </w:pPr>
            <w:r>
              <w:rPr/>
              <w:t>Critical / P1</w:t>
            </w:r>
          </w:p>
        </w:tc>
        <w:tc>
          <w:tcPr>
            <w:tcW w:w="4114" w:type="dxa"/>
            <w:tcBorders/>
          </w:tcPr>
          <w:p>
            <w:pPr>
              <w:pStyle w:val="normal1"/>
              <w:rPr/>
            </w:pPr>
            <w:r>
              <w:rPr/>
              <w:t>Service unavailable or error budget being consumed rapidly</w:t>
            </w:r>
          </w:p>
        </w:tc>
        <w:tc>
          <w:tcPr>
            <w:tcW w:w="3422" w:type="dxa"/>
            <w:tcBorders/>
          </w:tcPr>
          <w:p>
            <w:pPr>
              <w:pStyle w:val="normal1"/>
              <w:rPr/>
            </w:pPr>
            <w:r>
              <w:rPr/>
              <w:t>Page the on-call engineer immediately</w:t>
            </w:r>
          </w:p>
        </w:tc>
      </w:tr>
      <w:tr>
        <w:trPr>
          <w:trHeight w:val="770" w:hRule="atLeast"/>
        </w:trPr>
        <w:tc>
          <w:tcPr>
            <w:tcW w:w="1490" w:type="dxa"/>
            <w:tcBorders/>
          </w:tcPr>
          <w:p>
            <w:pPr>
              <w:pStyle w:val="normal1"/>
              <w:rPr/>
            </w:pPr>
            <w:r>
              <w:rPr/>
              <w:t>High / P2</w:t>
            </w:r>
          </w:p>
        </w:tc>
        <w:tc>
          <w:tcPr>
            <w:tcW w:w="4114" w:type="dxa"/>
            <w:tcBorders/>
          </w:tcPr>
          <w:p>
            <w:pPr>
              <w:pStyle w:val="normal1"/>
              <w:rPr/>
            </w:pPr>
            <w:r>
              <w:rPr/>
              <w:t>Availability falls below the selected scenario target</w:t>
            </w:r>
          </w:p>
        </w:tc>
        <w:tc>
          <w:tcPr>
            <w:tcW w:w="3422" w:type="dxa"/>
            <w:tcBorders/>
          </w:tcPr>
          <w:p>
            <w:pPr>
              <w:pStyle w:val="normal1"/>
              <w:rPr/>
            </w:pPr>
            <w:r>
              <w:rPr/>
              <w:t>Investigate and notify the responsible team</w:t>
            </w:r>
          </w:p>
        </w:tc>
      </w:tr>
      <w:tr>
        <w:trPr>
          <w:trHeight w:val="770" w:hRule="atLeast"/>
        </w:trPr>
        <w:tc>
          <w:tcPr>
            <w:tcW w:w="1490" w:type="dxa"/>
            <w:tcBorders/>
          </w:tcPr>
          <w:p>
            <w:pPr>
              <w:pStyle w:val="normal1"/>
              <w:rPr/>
            </w:pPr>
            <w:r>
              <w:rPr/>
              <w:t>Warning</w:t>
            </w:r>
          </w:p>
        </w:tc>
        <w:tc>
          <w:tcPr>
            <w:tcW w:w="4114" w:type="dxa"/>
            <w:tcBorders/>
          </w:tcPr>
          <w:p>
            <w:pPr>
              <w:pStyle w:val="normal1"/>
              <w:rPr/>
            </w:pPr>
            <w:r>
              <w:rPr/>
              <w:t>p95 latency exceeds the selected scenario target for 10 minutes</w:t>
            </w:r>
          </w:p>
        </w:tc>
        <w:tc>
          <w:tcPr>
            <w:tcW w:w="3422" w:type="dxa"/>
            <w:tcBorders/>
          </w:tcPr>
          <w:p>
            <w:pPr>
              <w:pStyle w:val="normal1"/>
              <w:rPr/>
            </w:pPr>
            <w:r>
              <w:rPr/>
              <w:t>Investigate application and database performance</w:t>
            </w:r>
          </w:p>
        </w:tc>
      </w:tr>
      <w:tr>
        <w:trPr>
          <w:trHeight w:val="770" w:hRule="atLeast"/>
        </w:trPr>
        <w:tc>
          <w:tcPr>
            <w:tcW w:w="1490" w:type="dxa"/>
            <w:tcBorders/>
          </w:tcPr>
          <w:p>
            <w:pPr>
              <w:pStyle w:val="normal1"/>
              <w:rPr/>
            </w:pPr>
            <w:r>
              <w:rPr/>
              <w:t>Informational</w:t>
            </w:r>
          </w:p>
        </w:tc>
        <w:tc>
          <w:tcPr>
            <w:tcW w:w="4114" w:type="dxa"/>
            <w:tcBorders/>
          </w:tcPr>
          <w:p>
            <w:pPr>
              <w:pStyle w:val="normal1"/>
              <w:rPr/>
            </w:pPr>
            <w:r>
              <w:rPr/>
              <w:t>CPU or memory utilization remains above 80% for 15 minutes</w:t>
            </w:r>
          </w:p>
        </w:tc>
        <w:tc>
          <w:tcPr>
            <w:tcW w:w="3422" w:type="dxa"/>
            <w:tcBorders/>
          </w:tcPr>
          <w:p>
            <w:pPr>
              <w:pStyle w:val="normal1"/>
              <w:rPr/>
            </w:pPr>
            <w:r>
              <w:rPr/>
              <w:t>Review resource usage and scaling requirements</w:t>
            </w:r>
          </w:p>
        </w:tc>
      </w:tr>
    </w:tbl>
    <w:p>
      <w:pPr>
        <w:pStyle w:val="normal1"/>
        <w:spacing w:lineRule="auto" w:line="240" w:before="240" w:after="240"/>
        <w:rPr/>
      </w:pPr>
      <w:r>
        <w:rPr/>
        <w:t>Latency alert targets should match the selected scenario: 800 ms for Lean, 500 ms for Balanced, and 300 ms for Resilient.</w:t>
      </w:r>
    </w:p>
    <w:p>
      <w:pPr>
        <w:pStyle w:val="Heading2"/>
        <w:keepNext w:val="false"/>
        <w:keepLines w:val="false"/>
        <w:spacing w:lineRule="auto" w:line="240" w:before="360" w:after="80"/>
        <w:rPr>
          <w:b/>
          <w:bCs/>
          <w:sz w:val="34"/>
          <w:szCs w:val="34"/>
        </w:rPr>
      </w:pPr>
      <w:r>
        <w:rPr>
          <w:b/>
          <w:bCs/>
          <w:sz w:val="34"/>
          <w:szCs w:val="34"/>
        </w:rPr>
      </w:r>
    </w:p>
    <w:p>
      <w:pPr>
        <w:pStyle w:val="Heading2"/>
        <w:spacing w:lineRule="auto" w:line="240" w:before="360" w:after="80"/>
        <w:rPr>
          <w:b/>
          <w:bCs/>
          <w:sz w:val="34"/>
          <w:szCs w:val="34"/>
        </w:rPr>
      </w:pPr>
      <w:bookmarkStart w:id="8" w:name="_mgqlarisgjm1"/>
      <w:bookmarkEnd w:id="8"/>
      <w:r>
        <w:rPr>
          <w:b/>
          <w:bCs/>
          <w:sz w:val="34"/>
          <w:szCs w:val="34"/>
        </w:rPr>
        <w:t>6. Incident Response:</w:t>
      </w:r>
    </w:p>
    <w:p>
      <w:pPr>
        <w:pStyle w:val="normal1"/>
        <w:numPr>
          <w:ilvl w:val="0"/>
          <w:numId w:val="2"/>
        </w:numPr>
        <w:spacing w:lineRule="auto" w:line="240" w:before="240" w:afterAutospacing="0" w:after="0"/>
        <w:ind w:hanging="360" w:start="720"/>
        <w:rPr/>
      </w:pPr>
      <w:r>
        <w:rPr/>
        <w:t>Detect the issue through monitoring or an alert.</w:t>
      </w:r>
    </w:p>
    <w:p>
      <w:pPr>
        <w:pStyle w:val="normal1"/>
        <w:numPr>
          <w:ilvl w:val="0"/>
          <w:numId w:val="2"/>
        </w:numPr>
        <w:spacing w:lineRule="auto" w:line="240" w:beforeAutospacing="0" w:before="0" w:afterAutospacing="0" w:after="0"/>
        <w:ind w:hanging="360" w:start="720"/>
        <w:rPr/>
      </w:pPr>
      <w:r>
        <w:rPr/>
        <w:t>Assess the severity and impact on users.</w:t>
      </w:r>
    </w:p>
    <w:p>
      <w:pPr>
        <w:pStyle w:val="normal1"/>
        <w:numPr>
          <w:ilvl w:val="0"/>
          <w:numId w:val="2"/>
        </w:numPr>
        <w:spacing w:lineRule="auto" w:line="240" w:beforeAutospacing="0" w:before="0" w:afterAutospacing="0" w:after="0"/>
        <w:ind w:hanging="360" w:start="720"/>
        <w:rPr/>
      </w:pPr>
      <w:r>
        <w:rPr/>
        <w:t>Identify whether the application, database, network, or deployment caused the issue.</w:t>
      </w:r>
    </w:p>
    <w:p>
      <w:pPr>
        <w:pStyle w:val="normal1"/>
        <w:numPr>
          <w:ilvl w:val="0"/>
          <w:numId w:val="2"/>
        </w:numPr>
        <w:spacing w:lineRule="auto" w:line="240" w:beforeAutospacing="0" w:before="0" w:afterAutospacing="0" w:after="0"/>
        <w:ind w:hanging="360" w:start="720"/>
        <w:rPr/>
      </w:pPr>
      <w:r>
        <w:rPr/>
        <w:t>Apply mitigation, such as rollback, restart, scaling, or safe recovery.</w:t>
      </w:r>
    </w:p>
    <w:p>
      <w:pPr>
        <w:pStyle w:val="normal1"/>
        <w:numPr>
          <w:ilvl w:val="0"/>
          <w:numId w:val="2"/>
        </w:numPr>
        <w:spacing w:lineRule="auto" w:line="240" w:beforeAutospacing="0" w:before="0" w:afterAutospacing="0" w:after="0"/>
        <w:ind w:hanging="360" w:start="720"/>
        <w:rPr/>
      </w:pPr>
      <w:r>
        <w:rPr/>
        <w:t>Verify that service performance has returned to acceptable levels.</w:t>
      </w:r>
    </w:p>
    <w:p>
      <w:pPr>
        <w:pStyle w:val="normal1"/>
        <w:numPr>
          <w:ilvl w:val="0"/>
          <w:numId w:val="2"/>
        </w:numPr>
        <w:spacing w:lineRule="auto" w:line="240" w:beforeAutospacing="0" w:before="0" w:after="240"/>
        <w:ind w:hanging="360" w:start="720"/>
        <w:rPr/>
      </w:pPr>
      <w:r>
        <w:rPr/>
        <w:t>Record the incident, root cause, downtime, and preventive actions.</w:t>
      </w:r>
    </w:p>
    <w:p>
      <w:pPr>
        <w:pStyle w:val="Heading2"/>
        <w:keepNext w:val="false"/>
        <w:keepLines w:val="false"/>
        <w:spacing w:lineRule="auto" w:line="240" w:before="360" w:after="80"/>
        <w:rPr>
          <w:b/>
          <w:bCs/>
          <w:sz w:val="34"/>
          <w:szCs w:val="34"/>
        </w:rPr>
      </w:pPr>
      <w:bookmarkStart w:id="9" w:name="_8ge3fh9u2t4"/>
      <w:bookmarkEnd w:id="9"/>
      <w:r>
        <w:rPr>
          <w:b/>
          <w:bCs/>
          <w:sz w:val="34"/>
          <w:szCs w:val="34"/>
        </w:rPr>
        <w:t>7. Recovery Objectives:</w:t>
      </w:r>
    </w:p>
    <w:p>
      <w:pPr>
        <w:pStyle w:val="normal1"/>
        <w:spacing w:lineRule="auto" w:line="240" w:before="240" w:after="240"/>
        <w:rPr/>
      </w:pPr>
      <w:r>
        <w:rPr/>
        <w:t>Recovery objectives define the expected recovery time and acceptable data-loss window after a major disruption.</w:t>
      </w:r>
    </w:p>
    <w:tbl>
      <w:tblPr>
        <w:tblStyle w:val="Table5"/>
        <w:tblW w:w="8250" w:type="dxa"/>
        <w:jc w:val="start"/>
        <w:tblInd w:w="0" w:type="dxa"/>
        <w:tblLayout w:type="fixed"/>
        <w:tblCellMar>
          <w:top w:w="100" w:type="dxa"/>
          <w:start w:w="100" w:type="dxa"/>
          <w:bottom w:w="100" w:type="dxa"/>
          <w:end w:w="100" w:type="dxa"/>
        </w:tblCellMar>
        <w:tblLook w:val="0600"/>
      </w:tblPr>
      <w:tblGrid>
        <w:gridCol w:w="1130"/>
        <w:gridCol w:w="3545"/>
        <w:gridCol w:w="3575"/>
      </w:tblGrid>
      <w:tr>
        <w:trPr>
          <w:trHeight w:val="500" w:hRule="atLeast"/>
        </w:trPr>
        <w:tc>
          <w:tcPr>
            <w:tcW w:w="1130" w:type="dxa"/>
            <w:tcBorders/>
          </w:tcPr>
          <w:p>
            <w:pPr>
              <w:pStyle w:val="normal1"/>
              <w:jc w:val="center"/>
              <w:rPr/>
            </w:pPr>
            <w:r>
              <w:rPr>
                <w:b/>
                <w:bCs/>
              </w:rPr>
              <w:t>Scenario</w:t>
            </w:r>
          </w:p>
        </w:tc>
        <w:tc>
          <w:tcPr>
            <w:tcW w:w="3545" w:type="dxa"/>
            <w:tcBorders/>
          </w:tcPr>
          <w:p>
            <w:pPr>
              <w:pStyle w:val="normal1"/>
              <w:jc w:val="center"/>
              <w:rPr/>
            </w:pPr>
            <w:r>
              <w:rPr>
                <w:b/>
                <w:bCs/>
              </w:rPr>
              <w:t>Recovery Time Objective (RTO)</w:t>
            </w:r>
          </w:p>
        </w:tc>
        <w:tc>
          <w:tcPr>
            <w:tcW w:w="3575" w:type="dxa"/>
            <w:tcBorders/>
          </w:tcPr>
          <w:p>
            <w:pPr>
              <w:pStyle w:val="normal1"/>
              <w:jc w:val="center"/>
              <w:rPr/>
            </w:pPr>
            <w:r>
              <w:rPr>
                <w:b/>
                <w:bCs/>
              </w:rPr>
              <w:t>Recovery Point Objective (RPO)</w:t>
            </w:r>
          </w:p>
        </w:tc>
      </w:tr>
      <w:tr>
        <w:trPr>
          <w:trHeight w:val="500" w:hRule="atLeast"/>
        </w:trPr>
        <w:tc>
          <w:tcPr>
            <w:tcW w:w="1130" w:type="dxa"/>
            <w:tcBorders/>
          </w:tcPr>
          <w:p>
            <w:pPr>
              <w:pStyle w:val="normal1"/>
              <w:rPr/>
            </w:pPr>
            <w:r>
              <w:rPr/>
              <w:t>Lean</w:t>
            </w:r>
          </w:p>
        </w:tc>
        <w:tc>
          <w:tcPr>
            <w:tcW w:w="3545" w:type="dxa"/>
            <w:tcBorders/>
          </w:tcPr>
          <w:p>
            <w:pPr>
              <w:pStyle w:val="normal1"/>
              <w:rPr/>
            </w:pPr>
            <w:r>
              <w:rPr/>
              <w:t>4 hours</w:t>
            </w:r>
          </w:p>
        </w:tc>
        <w:tc>
          <w:tcPr>
            <w:tcW w:w="3575" w:type="dxa"/>
            <w:tcBorders/>
          </w:tcPr>
          <w:p>
            <w:pPr>
              <w:pStyle w:val="normal1"/>
              <w:rPr/>
            </w:pPr>
            <w:r>
              <w:rPr/>
              <w:t>24 hours</w:t>
            </w:r>
          </w:p>
        </w:tc>
      </w:tr>
      <w:tr>
        <w:trPr>
          <w:trHeight w:val="500" w:hRule="atLeast"/>
        </w:trPr>
        <w:tc>
          <w:tcPr>
            <w:tcW w:w="1130" w:type="dxa"/>
            <w:tcBorders/>
          </w:tcPr>
          <w:p>
            <w:pPr>
              <w:pStyle w:val="normal1"/>
              <w:rPr/>
            </w:pPr>
            <w:r>
              <w:rPr/>
              <w:t>Balanced</w:t>
            </w:r>
          </w:p>
        </w:tc>
        <w:tc>
          <w:tcPr>
            <w:tcW w:w="3545" w:type="dxa"/>
            <w:tcBorders/>
          </w:tcPr>
          <w:p>
            <w:pPr>
              <w:pStyle w:val="normal1"/>
              <w:rPr/>
            </w:pPr>
            <w:r>
              <w:rPr/>
              <w:t>1 hour</w:t>
            </w:r>
          </w:p>
        </w:tc>
        <w:tc>
          <w:tcPr>
            <w:tcW w:w="3575" w:type="dxa"/>
            <w:tcBorders/>
          </w:tcPr>
          <w:p>
            <w:pPr>
              <w:pStyle w:val="normal1"/>
              <w:rPr/>
            </w:pPr>
            <w:r>
              <w:rPr/>
              <w:t>1 hour</w:t>
            </w:r>
          </w:p>
        </w:tc>
      </w:tr>
      <w:tr>
        <w:trPr>
          <w:trHeight w:val="500" w:hRule="atLeast"/>
        </w:trPr>
        <w:tc>
          <w:tcPr>
            <w:tcW w:w="1130" w:type="dxa"/>
            <w:tcBorders/>
          </w:tcPr>
          <w:p>
            <w:pPr>
              <w:pStyle w:val="normal1"/>
              <w:rPr/>
            </w:pPr>
            <w:r>
              <w:rPr/>
              <w:t>Resilient</w:t>
            </w:r>
          </w:p>
        </w:tc>
        <w:tc>
          <w:tcPr>
            <w:tcW w:w="3545" w:type="dxa"/>
            <w:tcBorders/>
          </w:tcPr>
          <w:p>
            <w:pPr>
              <w:pStyle w:val="normal1"/>
              <w:rPr/>
            </w:pPr>
            <w:r>
              <w:rPr/>
              <w:t>30 minutes</w:t>
            </w:r>
          </w:p>
        </w:tc>
        <w:tc>
          <w:tcPr>
            <w:tcW w:w="3575" w:type="dxa"/>
            <w:tcBorders/>
          </w:tcPr>
          <w:p>
            <w:pPr>
              <w:pStyle w:val="normal1"/>
              <w:rPr/>
            </w:pPr>
            <w:r>
              <w:rPr/>
              <w:t>15 minutes</w:t>
            </w:r>
          </w:p>
        </w:tc>
      </w:tr>
    </w:tbl>
    <w:p>
      <w:pPr>
        <w:pStyle w:val="normal1"/>
        <w:spacing w:lineRule="auto" w:line="240" w:before="240" w:after="240"/>
        <w:rPr/>
      </w:pPr>
      <w:r>
        <w:rPr/>
        <w:t>RTO is the target time to restore service. RPO is the maximum targeted data-loss window.</w:t>
      </w:r>
    </w:p>
    <w:p>
      <w:pPr>
        <w:pStyle w:val="normal1"/>
        <w:spacing w:lineRule="auto" w:line="240" w:before="240" w:after="240"/>
        <w:rPr/>
      </w:pPr>
      <w:r>
        <w:rPr/>
        <w:t>Achieving these targets depends on backup frequency, database recovery capabilities, infrastructure, and tested recovery procedures. They should be validated through recovery tests.</w:t>
      </w:r>
    </w:p>
    <w:p>
      <w:pPr>
        <w:pStyle w:val="Heading2"/>
        <w:keepNext w:val="false"/>
        <w:keepLines w:val="false"/>
        <w:spacing w:lineRule="auto" w:line="240" w:before="360" w:after="80"/>
        <w:rPr>
          <w:b/>
          <w:bCs/>
          <w:sz w:val="34"/>
          <w:szCs w:val="34"/>
        </w:rPr>
      </w:pPr>
      <w:r>
        <w:rPr>
          <w:b/>
          <w:bCs/>
          <w:sz w:val="34"/>
          <w:szCs w:val="34"/>
        </w:rPr>
      </w:r>
    </w:p>
    <w:p>
      <w:pPr>
        <w:pStyle w:val="Heading2"/>
        <w:spacing w:lineRule="auto" w:line="240" w:before="360" w:after="80"/>
        <w:rPr>
          <w:b/>
          <w:bCs/>
          <w:sz w:val="34"/>
          <w:szCs w:val="34"/>
        </w:rPr>
      </w:pPr>
      <w:bookmarkStart w:id="10" w:name="_u8gcogkvktgb"/>
      <w:bookmarkEnd w:id="10"/>
      <w:r>
        <w:rPr>
          <w:b/>
          <w:bCs/>
          <w:sz w:val="34"/>
          <w:szCs w:val="34"/>
        </w:rPr>
        <w:t>8. Error Budget Policy:</w:t>
      </w:r>
    </w:p>
    <w:p>
      <w:pPr>
        <w:pStyle w:val="normal1"/>
        <w:numPr>
          <w:ilvl w:val="0"/>
          <w:numId w:val="1"/>
        </w:numPr>
        <w:spacing w:lineRule="auto" w:line="240" w:before="240" w:afterAutospacing="0" w:after="0"/>
        <w:ind w:hanging="360" w:start="720"/>
        <w:rPr/>
      </w:pPr>
      <w:r>
        <w:rPr>
          <w:b/>
          <w:bCs/>
        </w:rPr>
        <w:t>Lean:</w:t>
      </w:r>
      <w:r>
        <w:rPr/>
        <w:t xml:space="preserve"> Prioritize cost-effective reliability measures and monitor service failures against the 99% availability target.</w:t>
      </w:r>
    </w:p>
    <w:p>
      <w:pPr>
        <w:pStyle w:val="normal1"/>
        <w:numPr>
          <w:ilvl w:val="0"/>
          <w:numId w:val="1"/>
        </w:numPr>
        <w:spacing w:lineRule="auto" w:line="240" w:beforeAutospacing="0" w:before="0" w:afterAutospacing="0" w:after="0"/>
        <w:ind w:hanging="360" w:start="720"/>
        <w:rPr/>
      </w:pPr>
      <w:r>
        <w:rPr>
          <w:b/>
          <w:bCs/>
        </w:rPr>
        <w:t>Balanced:</w:t>
      </w:r>
      <w:r>
        <w:rPr/>
        <w:t xml:space="preserve"> Use regular monitoring, automated backups, and incident response procedures to support the 99.5% availability target.</w:t>
      </w:r>
    </w:p>
    <w:p>
      <w:pPr>
        <w:pStyle w:val="normal1"/>
        <w:numPr>
          <w:ilvl w:val="0"/>
          <w:numId w:val="1"/>
        </w:numPr>
        <w:spacing w:lineRule="auto" w:line="240" w:beforeAutospacing="0" w:before="0" w:afterAutospacing="0" w:after="0"/>
        <w:ind w:hanging="360" w:start="720"/>
        <w:rPr/>
      </w:pPr>
      <w:r>
        <w:rPr>
          <w:b/>
          <w:bCs/>
        </w:rPr>
        <w:t>Resilient:</w:t>
      </w:r>
      <w:r>
        <w:rPr/>
        <w:t xml:space="preserve"> Use stronger recovery capabilities, frequent backups, and rapid incident response to support the 99.9% availability target.</w:t>
      </w:r>
    </w:p>
    <w:p>
      <w:pPr>
        <w:pStyle w:val="normal1"/>
        <w:numPr>
          <w:ilvl w:val="0"/>
          <w:numId w:val="1"/>
        </w:numPr>
        <w:spacing w:lineRule="auto" w:line="240" w:beforeAutospacing="0" w:before="0" w:afterAutospacing="0" w:after="0"/>
        <w:ind w:hanging="360" w:start="720"/>
        <w:rPr/>
      </w:pPr>
      <w:r>
        <w:rPr/>
        <w:t>If error-budget consumption increases rapidly, investigate the root cause and prioritize reliability improvements.</w:t>
      </w:r>
    </w:p>
    <w:p>
      <w:pPr>
        <w:pStyle w:val="normal1"/>
        <w:numPr>
          <w:ilvl w:val="0"/>
          <w:numId w:val="1"/>
        </w:numPr>
        <w:spacing w:lineRule="auto" w:line="240" w:beforeAutospacing="0" w:before="0" w:after="240"/>
        <w:ind w:hanging="360" w:start="720"/>
        <w:rPr/>
      </w:pPr>
      <w:r>
        <w:rPr/>
        <w:t>If the error budget is exhausted, consider pausing non-essential releases until service reliability improves.</w:t>
      </w:r>
    </w:p>
    <w:p>
      <w:pPr>
        <w:pStyle w:val="normal1"/>
        <w:spacing w:lineRule="auto" w:line="240" w:before="240" w:after="240"/>
        <w:rPr/>
      </w:pPr>
      <w:r>
        <w:rPr/>
        <w:t>The appropriate measures depend on the budget, architecture, and business requirements of the selected scenario.</w:t>
      </w:r>
    </w:p>
    <w:p>
      <w:pPr>
        <w:pStyle w:val="Heading2"/>
        <w:keepNext w:val="false"/>
        <w:keepLines w:val="false"/>
        <w:spacing w:lineRule="auto" w:line="240" w:before="360" w:after="80"/>
        <w:rPr>
          <w:b/>
          <w:bCs/>
          <w:sz w:val="34"/>
          <w:szCs w:val="34"/>
        </w:rPr>
      </w:pPr>
      <w:r>
        <w:rPr>
          <w:b/>
          <w:bCs/>
          <w:sz w:val="34"/>
          <w:szCs w:val="34"/>
        </w:rPr>
      </w:r>
    </w:p>
    <w:p>
      <w:pPr>
        <w:pStyle w:val="Heading2"/>
        <w:spacing w:lineRule="auto" w:line="240" w:before="360" w:after="80"/>
        <w:rPr>
          <w:b/>
          <w:bCs/>
          <w:sz w:val="34"/>
          <w:szCs w:val="34"/>
        </w:rPr>
      </w:pPr>
      <w:bookmarkStart w:id="11" w:name="_cswncuz57s2h"/>
      <w:bookmarkEnd w:id="11"/>
      <w:r>
        <w:rPr>
          <w:b/>
          <w:bCs/>
          <w:sz w:val="34"/>
          <w:szCs w:val="34"/>
        </w:rPr>
        <w:t>9. Review and Reporting:</w:t>
      </w:r>
    </w:p>
    <w:p>
      <w:pPr>
        <w:pStyle w:val="normal1"/>
        <w:spacing w:lineRule="auto" w:line="240" w:before="240" w:after="240"/>
        <w:rPr/>
      </w:pPr>
      <w:r>
        <w:rPr/>
        <w:t>Review availability, p95 latency, error rates, incidents, and error-budget consumption regularly. Compare measured performance with the selected SLO targets and update the plan when workload or business requirements change.</w:t>
      </w:r>
    </w:p>
    <w:p>
      <w:pPr>
        <w:pStyle w:val="Heading2"/>
        <w:keepNext w:val="false"/>
        <w:keepLines w:val="false"/>
        <w:spacing w:lineRule="auto" w:line="240" w:before="360" w:after="80"/>
        <w:rPr>
          <w:b/>
          <w:bCs/>
          <w:sz w:val="34"/>
          <w:szCs w:val="34"/>
        </w:rPr>
      </w:pPr>
      <w:r>
        <w:rPr>
          <w:b/>
          <w:bCs/>
          <w:sz w:val="34"/>
          <w:szCs w:val="34"/>
        </w:rPr>
      </w:r>
    </w:p>
    <w:p>
      <w:pPr>
        <w:pStyle w:val="Heading2"/>
        <w:spacing w:lineRule="auto" w:line="240" w:before="360" w:after="80"/>
        <w:rPr>
          <w:b/>
          <w:bCs/>
          <w:sz w:val="34"/>
          <w:szCs w:val="34"/>
        </w:rPr>
      </w:pPr>
      <w:bookmarkStart w:id="12" w:name="_dopus7fr81ou"/>
      <w:bookmarkEnd w:id="12"/>
      <w:r>
        <w:rPr>
          <w:b/>
          <w:bCs/>
          <w:sz w:val="34"/>
          <w:szCs w:val="34"/>
        </w:rPr>
        <w:t>10. Conclusion:</w:t>
      </w:r>
    </w:p>
    <w:p>
      <w:pPr>
        <w:pStyle w:val="normal1"/>
        <w:spacing w:lineRule="auto" w:line="240" w:before="240" w:after="240"/>
        <w:rPr/>
      </w:pPr>
      <w:r>
        <w:rPr/>
        <w:t>SLIs measure service performance, SLOs define reliability targets, and error budgets indicate how much unreliability is acceptable. The Lean, Balanced, and Resilient scenarios provide different levels of service reliability and recovery capability to support different budgets and user requirements.</w:t>
      </w:r>
    </w:p>
    <w:p>
      <w:pPr>
        <w:pStyle w:val="normal1"/>
        <w:rPr/>
      </w:pPr>
      <w:r>
        <w:rPr/>
      </w:r>
    </w:p>
    <w:sectPr>
      <w:type w:val="nextPage"/>
      <w:pgSz w:w="11906" w:h="16838"/>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embedRegular r:id="rId5" w:fontKey="{05014A78-CABC-4EF0-12AC-5CD89AEFDE05}"/>
  </w:font>
  <w:font w:name="Arial">
    <w:charset w:val="00" w:characterSet="windows-1252"/>
    <w:family w:val="swiss"/>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Liberation Serif">
    <w:altName w:val="Times New Roman"/>
    <w:charset w:val="00" w:characterSet="windows-1252"/>
    <w:family w:val="roman"/>
    <w:pitch w:val="variable"/>
    <w:embedRegular r:id="rId10" w:fontKey="{0A014A78-CABC-4EF0-12AC-5CD89AEFDE0A}"/>
    <w:embedBold r:id="rId11" w:fontKey="{0B014A78-CABC-4EF0-12AC-5CD89AEFDE0B}"/>
    <w:embedItalic r:id="rId12" w:fontKey="{0C014A78-CABC-4EF0-12AC-5CD89AEFDE0C}"/>
    <w:embedBoldItalic r:id="rId13" w:fontKey="{0D014A78-CABC-4EF0-12AC-5CD89AEFDE0D}"/>
  </w:font>
  <w:font w:name="Arial">
    <w:charset w:val="00" w:characterSet="windows-1252"/>
    <w:family w:val="roman"/>
    <w:pitch w:val="variable"/>
  </w:font>
  <w:font w:name="Liberation Sans">
    <w:altName w:val="Arial"/>
    <w:charset w:val="00" w:characterSet="windows-1252"/>
    <w:family w:val="swiss"/>
    <w:pitch w:val="variable"/>
    <w:embedRegular r:id="rId14" w:fontKey="{0E014A78-CABC-4EF0-12AC-5CD89AEFDE0E}"/>
    <w:embedBold r:id="rId15" w:fontKey="{0F014A78-CABC-4EF0-12AC-5CD89AEFDE0F}"/>
    <w:embedItalic r:id="rId16" w:fontKey="{10014A78-CABC-4EF0-12AC-5CD89AEFDE10}"/>
    <w:embedBoldItalic r:id="rId17" w:fontKey="{11014A78-CABC-4EF0-12AC-5CD89AEFDE11}"/>
  </w:font>
  <w:font w:name="Arial Unicode MS">
    <w:charset w:val="00" w:characterSet="windows-1252"/>
    <w:family w:val="roman"/>
    <w:pitch w:val="variable"/>
  </w:font>
  <w:font w:name="Wingdings">
    <w:charset w:val="02"/>
    <w:family w:val="auto"/>
    <w:pitch w:val="default"/>
    <w:embedRegular r:id="rId18" w:fontKey="{12014A78-CABC-4EF0-12AC-5CD89AEFDE12}"/>
    <w:embedBold r:id="rId19" w:fontKey="{13014A78-CABC-4EF0-12AC-5CD89AEFDE13}"/>
  </w:font>
  <w:font w:name="Wingdings 2">
    <w:charset w:val="02"/>
    <w:family w:val="auto"/>
    <w:pitch w:val="default"/>
    <w:embedRegular r:id="rId20" w:fontKey="{14014A78-CABC-4EF0-12AC-5CD89AEFDE14}"/>
    <w:embedBold r:id="rId21" w:fontKey="{15014A78-CABC-4EF0-12AC-5CD89AEFDE15}"/>
  </w:font>
  <w:font w:name="OpenSymbol">
    <w:altName w:val="Arial Unicode MS"/>
    <w:charset w:val="01"/>
    <w:family w:val="auto"/>
    <w:pitch w:val="default"/>
    <w:embedRegular r:id="rId22" w:fontKey="{16014A78-CABC-4EF0-12AC-5CD89AEFDE16}"/>
    <w:embedBold r:id="rId23" w:fontKey="{17014A78-CABC-4EF0-12AC-5CD89AEFDE17}"/>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start"/>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start"/>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start"/>
      <w:pPr>
        <w:tabs>
          <w:tab w:val="num" w:pos="0"/>
        </w:tabs>
        <w:ind w:start="6480" w:hanging="360"/>
      </w:pPr>
      <w:rPr>
        <w:u w:val="none"/>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star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bidi w:val="0"/>
      <w:spacing w:lineRule="auto" w:line="276" w:before="0" w:after="0"/>
      <w:jc w:val="star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Relationship Id="rId20" Type="http://schemas.openxmlformats.org/officeDocument/2006/relationships/font" Target="fonts/font20.odttf"/><Relationship Id="rId21" Type="http://schemas.openxmlformats.org/officeDocument/2006/relationships/font" Target="fonts/font21.odttf"/><Relationship Id="rId22" Type="http://schemas.openxmlformats.org/officeDocument/2006/relationships/font" Target="fonts/font22.odttf"/><Relationship Id="rId23" Type="http://schemas.openxmlformats.org/officeDocument/2006/relationships/font" Target="fonts/font23.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LibreOffice/25.8.4.1$Windows_X86_64 LibreOffice_project/6ab4ab096601e7cd763971a4dad5a6c7322a1a59</Application>
  <AppVersion>15.0000</AppVersion>
  <Pages>5</Pages>
  <Words>752</Words>
  <Characters>4545</Characters>
  <CharactersWithSpaces>5160</CharactersWithSpaces>
  <Paragraphs>127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en-IN</dc:language>
  <cp:lastModifiedBy/>
  <dcterms:modified xsi:type="dcterms:W3CDTF">2026-10-28T15:05:46Z</dcterms:modified>
  <cp:revision>1</cp:revision>
  <dc:subject/>
  <dc:title/>
</cp:coreProperties>
</file>