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8795B" w14:textId="77777777" w:rsidR="00C44591" w:rsidRPr="00C44591" w:rsidRDefault="00C44591" w:rsidP="00C44591">
      <w:pPr>
        <w:rPr>
          <w:b/>
          <w:bCs/>
        </w:rPr>
      </w:pPr>
      <w:r w:rsidRPr="00C44591">
        <w:rPr>
          <w:b/>
          <w:bCs/>
        </w:rPr>
        <w:t>Business Performance Report: Motorola Sales &amp; Customer Insights</w:t>
      </w:r>
    </w:p>
    <w:p w14:paraId="16048CE0" w14:textId="77777777" w:rsidR="00C44591" w:rsidRPr="00C44591" w:rsidRDefault="00C44591" w:rsidP="00C44591">
      <w:r w:rsidRPr="00C44591">
        <w:rPr>
          <w:b/>
          <w:bCs/>
        </w:rPr>
        <w:t>Prepared by:</w:t>
      </w:r>
      <w:r w:rsidRPr="00C44591">
        <w:t xml:space="preserve"> Vinit Moroliya, Business Analyst </w:t>
      </w:r>
    </w:p>
    <w:p w14:paraId="479D27BE" w14:textId="77777777" w:rsidR="00C44591" w:rsidRPr="00C44591" w:rsidRDefault="00C44591" w:rsidP="00C44591">
      <w:r w:rsidRPr="00C44591">
        <w:rPr>
          <w:b/>
          <w:bCs/>
        </w:rPr>
        <w:t>Reporting Period:</w:t>
      </w:r>
      <w:r w:rsidRPr="00C44591">
        <w:t xml:space="preserve"> Full Year (January – December)</w:t>
      </w:r>
    </w:p>
    <w:p w14:paraId="730A90F7" w14:textId="77777777" w:rsidR="00C44591" w:rsidRPr="00C44591" w:rsidRDefault="00C44591" w:rsidP="00C44591">
      <w:pPr>
        <w:rPr>
          <w:b/>
          <w:bCs/>
        </w:rPr>
      </w:pPr>
      <w:r w:rsidRPr="00C44591">
        <w:rPr>
          <w:b/>
          <w:bCs/>
        </w:rPr>
        <w:t>1. Executive Summary</w:t>
      </w:r>
    </w:p>
    <w:p w14:paraId="776857FA" w14:textId="77777777" w:rsidR="00C44591" w:rsidRPr="00C44591" w:rsidRDefault="00C44591" w:rsidP="00C44591">
      <w:r w:rsidRPr="00C44591">
        <w:t xml:space="preserve">This report provides an end-to-end performance analysis of Motorola's retail operations, evaluating data across </w:t>
      </w:r>
      <w:r w:rsidRPr="00C44591">
        <w:rPr>
          <w:b/>
          <w:bCs/>
        </w:rPr>
        <w:t>$769.20M in total sales</w:t>
      </w:r>
      <w:r w:rsidRPr="00C44591">
        <w:t xml:space="preserve">, </w:t>
      </w:r>
      <w:r w:rsidRPr="00C44591">
        <w:rPr>
          <w:b/>
          <w:bCs/>
        </w:rPr>
        <w:t>19K units sold</w:t>
      </w:r>
      <w:r w:rsidRPr="00C44591">
        <w:t xml:space="preserve">, and </w:t>
      </w:r>
      <w:r w:rsidRPr="00C44591">
        <w:rPr>
          <w:b/>
          <w:bCs/>
        </w:rPr>
        <w:t>4K transactions</w:t>
      </w:r>
      <w:r w:rsidRPr="00C44591">
        <w:t>.</w:t>
      </w:r>
    </w:p>
    <w:p w14:paraId="79040296" w14:textId="77777777" w:rsidR="00C44591" w:rsidRPr="00C44591" w:rsidRDefault="00C44591" w:rsidP="00C44591">
      <w:r w:rsidRPr="00C44591">
        <w:t>The primary objective is to evaluate geographic distribution, demand seasonality, transaction methods, and customer satisfaction metrics to discover operational efficiencies and growth opportunities. The dataset reflects a highly stable, high-volume market with distinct product demand cycles and exceptional customer satisfaction.</w:t>
      </w:r>
    </w:p>
    <w:p w14:paraId="29E41C92" w14:textId="77777777" w:rsidR="00C44591" w:rsidRPr="00C44591" w:rsidRDefault="00C44591" w:rsidP="00C44591">
      <w:pPr>
        <w:rPr>
          <w:b/>
          <w:bCs/>
        </w:rPr>
      </w:pPr>
      <w:r w:rsidRPr="00C44591">
        <w:rPr>
          <w:b/>
          <w:bCs/>
        </w:rPr>
        <w:t>2. Core Operational KPIs</w:t>
      </w:r>
    </w:p>
    <w:p w14:paraId="2F28CC0E" w14:textId="77777777" w:rsidR="00C44591" w:rsidRPr="00C44591" w:rsidRDefault="00C44591" w:rsidP="00C44591">
      <w:r w:rsidRPr="00C44591">
        <w:t>The high-level performance metrics demonstrate strong revenue health and solid transactional velocity:</w:t>
      </w:r>
    </w:p>
    <w:p w14:paraId="4B2905B5" w14:textId="77777777" w:rsidR="00C44591" w:rsidRPr="00C44591" w:rsidRDefault="00C44591" w:rsidP="00C44591">
      <w:pPr>
        <w:numPr>
          <w:ilvl w:val="0"/>
          <w:numId w:val="1"/>
        </w:numPr>
      </w:pPr>
      <w:r w:rsidRPr="00C44591">
        <w:rPr>
          <w:b/>
          <w:bCs/>
        </w:rPr>
        <w:t>Total Revenue:</w:t>
      </w:r>
      <w:r w:rsidRPr="00C44591">
        <w:t xml:space="preserve"> $769.20M</w:t>
      </w:r>
    </w:p>
    <w:p w14:paraId="7FCCDBAC" w14:textId="77777777" w:rsidR="00C44591" w:rsidRPr="00C44591" w:rsidRDefault="00C44591" w:rsidP="00C44591">
      <w:pPr>
        <w:numPr>
          <w:ilvl w:val="0"/>
          <w:numId w:val="1"/>
        </w:numPr>
      </w:pPr>
      <w:r w:rsidRPr="00C44591">
        <w:rPr>
          <w:b/>
          <w:bCs/>
        </w:rPr>
        <w:t>Total Volume Sold:</w:t>
      </w:r>
      <w:r w:rsidRPr="00C44591">
        <w:t xml:space="preserve"> 19K units</w:t>
      </w:r>
    </w:p>
    <w:p w14:paraId="71145D67" w14:textId="77777777" w:rsidR="00C44591" w:rsidRPr="00C44591" w:rsidRDefault="00C44591" w:rsidP="00C44591">
      <w:pPr>
        <w:numPr>
          <w:ilvl w:val="0"/>
          <w:numId w:val="1"/>
        </w:numPr>
      </w:pPr>
      <w:r w:rsidRPr="00C44591">
        <w:rPr>
          <w:b/>
          <w:bCs/>
        </w:rPr>
        <w:t>Total Transactions:</w:t>
      </w:r>
      <w:r w:rsidRPr="00C44591">
        <w:t xml:space="preserve"> 4K</w:t>
      </w:r>
    </w:p>
    <w:p w14:paraId="35502571" w14:textId="77777777" w:rsidR="00C44591" w:rsidRPr="00C44591" w:rsidRDefault="00C44591" w:rsidP="00C44591">
      <w:pPr>
        <w:numPr>
          <w:ilvl w:val="0"/>
          <w:numId w:val="1"/>
        </w:numPr>
      </w:pPr>
      <w:r w:rsidRPr="00C44591">
        <w:rPr>
          <w:b/>
          <w:bCs/>
        </w:rPr>
        <w:t>Average Order Value (AOV):</w:t>
      </w:r>
      <w:r w:rsidRPr="00C44591">
        <w:t xml:space="preserve"> $40.11K</w:t>
      </w:r>
    </w:p>
    <w:p w14:paraId="5EB91E9D" w14:textId="77777777" w:rsidR="00C44591" w:rsidRPr="00C44591" w:rsidRDefault="00C44591" w:rsidP="00C44591">
      <w:r w:rsidRPr="00C44591">
        <w:rPr>
          <w:rFonts w:ascii="Segoe UI Emoji" w:hAnsi="Segoe UI Emoji" w:cs="Segoe UI Emoji"/>
        </w:rPr>
        <w:t>👍</w:t>
      </w:r>
      <w:r w:rsidRPr="00C44591">
        <w:t xml:space="preserve"> </w:t>
      </w:r>
      <w:r w:rsidRPr="00C44591">
        <w:rPr>
          <w:b/>
          <w:bCs/>
        </w:rPr>
        <w:t>Analyst Note:</w:t>
      </w:r>
      <w:r w:rsidRPr="00C44591">
        <w:t xml:space="preserve"> An Average Order Value of $40.11K indicates that the dataset represents high-volume B2B distribution agreements, bulk corporate/retailer </w:t>
      </w:r>
      <w:proofErr w:type="spellStart"/>
      <w:r w:rsidRPr="00C44591">
        <w:t>fulfillment</w:t>
      </w:r>
      <w:proofErr w:type="spellEnd"/>
      <w:r w:rsidRPr="00C44591">
        <w:t>, or regional distributor invoicing rather than individual direct-to-consumer (D2C) smartphone sales.</w:t>
      </w:r>
    </w:p>
    <w:p w14:paraId="7ED86092" w14:textId="77777777" w:rsidR="00C44591" w:rsidRPr="00C44591" w:rsidRDefault="00C44591" w:rsidP="00C44591">
      <w:pPr>
        <w:rPr>
          <w:b/>
          <w:bCs/>
        </w:rPr>
      </w:pPr>
      <w:r w:rsidRPr="00C44591">
        <w:rPr>
          <w:b/>
          <w:bCs/>
        </w:rPr>
        <w:t>3. Trend &amp; Seasonality Analysis</w:t>
      </w:r>
    </w:p>
    <w:p w14:paraId="4DFDC4B0" w14:textId="77777777" w:rsidR="00C44591" w:rsidRPr="00C44591" w:rsidRDefault="00C44591" w:rsidP="00C44591">
      <w:pPr>
        <w:rPr>
          <w:b/>
          <w:bCs/>
        </w:rPr>
      </w:pPr>
      <w:r w:rsidRPr="00C44591">
        <w:rPr>
          <w:b/>
          <w:bCs/>
        </w:rPr>
        <w:t>A. Sales Revenue by Month</w:t>
      </w:r>
    </w:p>
    <w:p w14:paraId="1B6F7353" w14:textId="77777777" w:rsidR="00C44591" w:rsidRPr="00C44591" w:rsidRDefault="00C44591" w:rsidP="00C44591">
      <w:r w:rsidRPr="00C44591">
        <w:t xml:space="preserve">Monthly revenue remains highly resilient throughout the year, consistently fluctuating within a healthy band of </w:t>
      </w:r>
      <w:r w:rsidRPr="00C44591">
        <w:rPr>
          <w:b/>
          <w:bCs/>
        </w:rPr>
        <w:t>$57M to $70M</w:t>
      </w:r>
      <w:r w:rsidRPr="00C44591">
        <w:t>.</w:t>
      </w:r>
    </w:p>
    <w:p w14:paraId="1DA7F366" w14:textId="77777777" w:rsidR="00C44591" w:rsidRPr="00C44591" w:rsidRDefault="00C44591" w:rsidP="00C44591">
      <w:pPr>
        <w:numPr>
          <w:ilvl w:val="0"/>
          <w:numId w:val="2"/>
        </w:numPr>
      </w:pPr>
      <w:r w:rsidRPr="00C44591">
        <w:rPr>
          <w:b/>
          <w:bCs/>
        </w:rPr>
        <w:t>Peak Performance:</w:t>
      </w:r>
      <w:r w:rsidRPr="00C44591">
        <w:t xml:space="preserve"> July represents the highest-performing month of the year, bringing in </w:t>
      </w:r>
      <w:r w:rsidRPr="00C44591">
        <w:rPr>
          <w:b/>
          <w:bCs/>
        </w:rPr>
        <w:t>$70M</w:t>
      </w:r>
      <w:r w:rsidRPr="00C44591">
        <w:t xml:space="preserve"> in revenue, closely followed by April ($69M), January ($68M), and May ($68M).</w:t>
      </w:r>
    </w:p>
    <w:p w14:paraId="4F314507" w14:textId="77777777" w:rsidR="00C44591" w:rsidRPr="00C44591" w:rsidRDefault="00C44591" w:rsidP="00C44591">
      <w:pPr>
        <w:numPr>
          <w:ilvl w:val="0"/>
          <w:numId w:val="2"/>
        </w:numPr>
      </w:pPr>
      <w:r w:rsidRPr="00C44591">
        <w:rPr>
          <w:b/>
          <w:bCs/>
        </w:rPr>
        <w:t>Low Performance Period:</w:t>
      </w:r>
      <w:r w:rsidRPr="00C44591">
        <w:t xml:space="preserve"> A noticeable dip occurs in September (</w:t>
      </w:r>
      <w:r w:rsidRPr="00C44591">
        <w:rPr>
          <w:b/>
          <w:bCs/>
        </w:rPr>
        <w:t>$57M</w:t>
      </w:r>
      <w:r w:rsidRPr="00C44591">
        <w:t>), marking a transitional period before recovering steadily back to $64M by December.</w:t>
      </w:r>
    </w:p>
    <w:p w14:paraId="3032077E" w14:textId="77777777" w:rsidR="00C44591" w:rsidRPr="00C44591" w:rsidRDefault="00C44591" w:rsidP="00C44591">
      <w:pPr>
        <w:rPr>
          <w:b/>
          <w:bCs/>
        </w:rPr>
      </w:pPr>
      <w:r w:rsidRPr="00C44591">
        <w:rPr>
          <w:b/>
          <w:bCs/>
        </w:rPr>
        <w:t>B. Volume Distribution (Quantity by Month/Day)</w:t>
      </w:r>
    </w:p>
    <w:p w14:paraId="0A564079" w14:textId="77777777" w:rsidR="00C44591" w:rsidRPr="00C44591" w:rsidRDefault="00C44591" w:rsidP="00C44591">
      <w:r w:rsidRPr="00C44591">
        <w:t>While revenue stays relatively flat, unit volume exhibits sharp tactical volatility:</w:t>
      </w:r>
    </w:p>
    <w:p w14:paraId="29F41150" w14:textId="77777777" w:rsidR="00C44591" w:rsidRPr="00C44591" w:rsidRDefault="00C44591" w:rsidP="00C44591">
      <w:pPr>
        <w:numPr>
          <w:ilvl w:val="0"/>
          <w:numId w:val="3"/>
        </w:numPr>
      </w:pPr>
      <w:r w:rsidRPr="00C44591">
        <w:rPr>
          <w:b/>
          <w:bCs/>
        </w:rPr>
        <w:t>Q1 Dynamics:</w:t>
      </w:r>
      <w:r w:rsidRPr="00C44591">
        <w:t xml:space="preserve"> January starts strong at 1,672 units but experiences a sharp contraction in February to the yearly low of </w:t>
      </w:r>
      <w:r w:rsidRPr="00C44591">
        <w:rPr>
          <w:b/>
          <w:bCs/>
        </w:rPr>
        <w:t>1,451 units</w:t>
      </w:r>
      <w:r w:rsidRPr="00C44591">
        <w:t xml:space="preserve">, followed by a rapid rebound in March to </w:t>
      </w:r>
      <w:r w:rsidRPr="00C44591">
        <w:rPr>
          <w:b/>
          <w:bCs/>
        </w:rPr>
        <w:t>1,696 units</w:t>
      </w:r>
      <w:r w:rsidRPr="00C44591">
        <w:t>.</w:t>
      </w:r>
    </w:p>
    <w:p w14:paraId="1348FC1D" w14:textId="77777777" w:rsidR="00C44591" w:rsidRPr="00C44591" w:rsidRDefault="00C44591" w:rsidP="00C44591">
      <w:pPr>
        <w:numPr>
          <w:ilvl w:val="0"/>
          <w:numId w:val="3"/>
        </w:numPr>
      </w:pPr>
      <w:r w:rsidRPr="00C44591">
        <w:rPr>
          <w:b/>
          <w:bCs/>
        </w:rPr>
        <w:t>Mid-Year Peak:</w:t>
      </w:r>
      <w:r w:rsidRPr="00C44591">
        <w:t xml:space="preserve"> July marks the absolute peak for unit volume at </w:t>
      </w:r>
      <w:r w:rsidRPr="00C44591">
        <w:rPr>
          <w:b/>
          <w:bCs/>
        </w:rPr>
        <w:t>1,700 units</w:t>
      </w:r>
      <w:r w:rsidRPr="00C44591">
        <w:t>, perfectly correlating with the annual revenue high.</w:t>
      </w:r>
    </w:p>
    <w:p w14:paraId="71FC9409" w14:textId="77777777" w:rsidR="00C44591" w:rsidRPr="00C44591" w:rsidRDefault="00C44591" w:rsidP="00C44591">
      <w:pPr>
        <w:rPr>
          <w:b/>
          <w:bCs/>
        </w:rPr>
      </w:pPr>
      <w:r w:rsidRPr="00C44591">
        <w:rPr>
          <w:b/>
          <w:bCs/>
        </w:rPr>
        <w:lastRenderedPageBreak/>
        <w:t xml:space="preserve">4. Market Demographics &amp; </w:t>
      </w:r>
      <w:proofErr w:type="spellStart"/>
      <w:r w:rsidRPr="00C44591">
        <w:rPr>
          <w:b/>
          <w:bCs/>
        </w:rPr>
        <w:t>Behavioral</w:t>
      </w:r>
      <w:proofErr w:type="spellEnd"/>
      <w:r w:rsidRPr="00C44591">
        <w:rPr>
          <w:b/>
          <w:bCs/>
        </w:rPr>
        <w:t xml:space="preserve"> Insights</w:t>
      </w:r>
    </w:p>
    <w:p w14:paraId="01C8239F" w14:textId="77777777" w:rsidR="00C44591" w:rsidRPr="00C44591" w:rsidRDefault="00C44591" w:rsidP="00C44591">
      <w:pPr>
        <w:rPr>
          <w:b/>
          <w:bCs/>
        </w:rPr>
      </w:pPr>
      <w:r w:rsidRPr="00C44591">
        <w:rPr>
          <w:b/>
          <w:bCs/>
        </w:rPr>
        <w:t>A. Geographic Penetration</w:t>
      </w:r>
    </w:p>
    <w:p w14:paraId="760B3219" w14:textId="77777777" w:rsidR="00C44591" w:rsidRPr="00C44591" w:rsidRDefault="00C44591" w:rsidP="00C44591">
      <w:r w:rsidRPr="00C44591">
        <w:t xml:space="preserve">The spatial mapping indicates that the primary sales footprint is highly concentrated across </w:t>
      </w:r>
      <w:r w:rsidRPr="00C44591">
        <w:rPr>
          <w:b/>
          <w:bCs/>
        </w:rPr>
        <w:t>India</w:t>
      </w:r>
      <w:r w:rsidRPr="00C44591">
        <w:t>. Major clusters are distributed across northern, central, western, and southern peninsular regions, indicating a well-established nationwide supply chain and distribution network.</w:t>
      </w:r>
    </w:p>
    <w:p w14:paraId="268DD0C9" w14:textId="77777777" w:rsidR="00C44591" w:rsidRPr="00C44591" w:rsidRDefault="00C44591" w:rsidP="00C44591">
      <w:pPr>
        <w:rPr>
          <w:b/>
          <w:bCs/>
        </w:rPr>
      </w:pPr>
      <w:r w:rsidRPr="00C44591">
        <w:rPr>
          <w:b/>
          <w:bCs/>
        </w:rPr>
        <w:t>B. Transaction &amp; Payment Method Breakdown</w:t>
      </w:r>
    </w:p>
    <w:p w14:paraId="298F888F" w14:textId="77777777" w:rsidR="00C44591" w:rsidRPr="00C44591" w:rsidRDefault="00C44591" w:rsidP="00C44591">
      <w:r w:rsidRPr="00C44591">
        <w:t>Consumer payment choices are exceptionally well-distributed, with almost equal preference across four major payment channels: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1"/>
        <w:gridCol w:w="2039"/>
        <w:gridCol w:w="1932"/>
      </w:tblGrid>
      <w:tr w:rsidR="00C44591" w:rsidRPr="00C44591" w14:paraId="5D9047D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6B21D" w14:textId="77777777" w:rsidR="00C44591" w:rsidRPr="00C44591" w:rsidRDefault="00C44591" w:rsidP="00C44591">
            <w:r w:rsidRPr="00C44591">
              <w:rPr>
                <w:b/>
                <w:bCs/>
              </w:rPr>
              <w:t>Payment Method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9BC60C" w14:textId="77777777" w:rsidR="00C44591" w:rsidRPr="00C44591" w:rsidRDefault="00C44591" w:rsidP="00C44591">
            <w:r w:rsidRPr="00C44591">
              <w:rPr>
                <w:b/>
                <w:bCs/>
              </w:rPr>
              <w:t>Transaction Share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098716" w14:textId="77777777" w:rsidR="00C44591" w:rsidRPr="00C44591" w:rsidRDefault="00C44591" w:rsidP="00C44591">
            <w:r w:rsidRPr="00C44591">
              <w:rPr>
                <w:b/>
                <w:bCs/>
              </w:rPr>
              <w:t>Volume Share</w:t>
            </w:r>
          </w:p>
        </w:tc>
      </w:tr>
      <w:tr w:rsidR="00C44591" w:rsidRPr="00C44591" w14:paraId="76B43C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20A55A" w14:textId="77777777" w:rsidR="00C44591" w:rsidRPr="00C44591" w:rsidRDefault="00C44591" w:rsidP="00C44591">
            <w:r w:rsidRPr="00C44591">
              <w:rPr>
                <w:b/>
                <w:bCs/>
              </w:rPr>
              <w:t>UPI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74218C" w14:textId="77777777" w:rsidR="00C44591" w:rsidRPr="00C44591" w:rsidRDefault="00C44591" w:rsidP="00C44591">
            <w:r w:rsidRPr="00C44591">
              <w:rPr>
                <w:b/>
                <w:bCs/>
              </w:rPr>
              <w:t>26.36%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37C604" w14:textId="77777777" w:rsidR="00C44591" w:rsidRPr="00C44591" w:rsidRDefault="00C44591" w:rsidP="00C44591">
            <w:r w:rsidRPr="00C44591">
              <w:t>~1K Transactions</w:t>
            </w:r>
          </w:p>
        </w:tc>
      </w:tr>
      <w:tr w:rsidR="00C44591" w:rsidRPr="00C44591" w14:paraId="131657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04AC5" w14:textId="77777777" w:rsidR="00C44591" w:rsidRPr="00C44591" w:rsidRDefault="00C44591" w:rsidP="00C44591">
            <w:r w:rsidRPr="00C44591">
              <w:rPr>
                <w:b/>
                <w:bCs/>
              </w:rPr>
              <w:t>Credit Card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915748" w14:textId="77777777" w:rsidR="00C44591" w:rsidRPr="00C44591" w:rsidRDefault="00C44591" w:rsidP="00C44591">
            <w:r w:rsidRPr="00C44591">
              <w:rPr>
                <w:b/>
                <w:bCs/>
              </w:rPr>
              <w:t>24.69%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CE5EC5" w14:textId="77777777" w:rsidR="00C44591" w:rsidRPr="00C44591" w:rsidRDefault="00C44591" w:rsidP="00C44591">
            <w:r w:rsidRPr="00C44591">
              <w:t>~1K Transactions</w:t>
            </w:r>
          </w:p>
        </w:tc>
      </w:tr>
      <w:tr w:rsidR="00C44591" w:rsidRPr="00C44591" w14:paraId="07405B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26A7BA" w14:textId="77777777" w:rsidR="00C44591" w:rsidRPr="00C44591" w:rsidRDefault="00C44591" w:rsidP="00C44591">
            <w:r w:rsidRPr="00C44591">
              <w:rPr>
                <w:b/>
                <w:bCs/>
              </w:rPr>
              <w:t>Cash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FD848D" w14:textId="77777777" w:rsidR="00C44591" w:rsidRPr="00C44591" w:rsidRDefault="00C44591" w:rsidP="00C44591">
            <w:r w:rsidRPr="00C44591">
              <w:rPr>
                <w:b/>
                <w:bCs/>
              </w:rPr>
              <w:t>24.22%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D30A56" w14:textId="77777777" w:rsidR="00C44591" w:rsidRPr="00C44591" w:rsidRDefault="00C44591" w:rsidP="00C44591">
            <w:r w:rsidRPr="00C44591">
              <w:t>~1K Transactions</w:t>
            </w:r>
          </w:p>
        </w:tc>
      </w:tr>
      <w:tr w:rsidR="00C44591" w:rsidRPr="00C44591" w14:paraId="191B00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028082" w14:textId="77777777" w:rsidR="00C44591" w:rsidRPr="00C44591" w:rsidRDefault="00C44591" w:rsidP="00C44591">
            <w:r w:rsidRPr="00C44591">
              <w:rPr>
                <w:b/>
                <w:bCs/>
              </w:rPr>
              <w:t>Debit Card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08DA9C" w14:textId="77777777" w:rsidR="00C44591" w:rsidRPr="00C44591" w:rsidRDefault="00C44591" w:rsidP="00C44591">
            <w:r w:rsidRPr="00C44591">
              <w:rPr>
                <w:b/>
                <w:bCs/>
              </w:rPr>
              <w:t>24.72%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B77548" w14:textId="77777777" w:rsidR="00C44591" w:rsidRPr="00C44591" w:rsidRDefault="00C44591" w:rsidP="00C44591">
            <w:r w:rsidRPr="00C44591">
              <w:t>~1K Transactions</w:t>
            </w:r>
          </w:p>
        </w:tc>
      </w:tr>
    </w:tbl>
    <w:p w14:paraId="3BE0DBF0" w14:textId="77777777" w:rsidR="00C44591" w:rsidRPr="00C44591" w:rsidRDefault="00C44591" w:rsidP="00C44591">
      <w:r w:rsidRPr="00C44591">
        <w:t>There is no single dominant payment type, showing that infrastructure support for digital payments (UPI/Cards) is just as vital as cash logistics.</w:t>
      </w:r>
    </w:p>
    <w:p w14:paraId="3C626562" w14:textId="77777777" w:rsidR="00C44591" w:rsidRPr="00C44591" w:rsidRDefault="00C44591" w:rsidP="00C44591">
      <w:pPr>
        <w:rPr>
          <w:b/>
          <w:bCs/>
        </w:rPr>
      </w:pPr>
      <w:r w:rsidRPr="00C44591">
        <w:rPr>
          <w:b/>
          <w:bCs/>
        </w:rPr>
        <w:t>5. Quality Assurance &amp; Customer Sentiment</w:t>
      </w:r>
    </w:p>
    <w:p w14:paraId="25D84502" w14:textId="77777777" w:rsidR="00C44591" w:rsidRPr="00C44591" w:rsidRDefault="00C44591" w:rsidP="00C44591">
      <w:r w:rsidRPr="00C44591">
        <w:t>Customer satisfaction metrics show overwhelmingly positive feedback, indicating excellent product market fit and post-purchase satisfaction:</w:t>
      </w:r>
    </w:p>
    <w:p w14:paraId="74DC207C" w14:textId="77777777" w:rsidR="00C44591" w:rsidRPr="00C44591" w:rsidRDefault="00C44591" w:rsidP="00C44591">
      <w:pPr>
        <w:numPr>
          <w:ilvl w:val="0"/>
          <w:numId w:val="4"/>
        </w:numPr>
      </w:pPr>
      <w:r w:rsidRPr="00C44591">
        <w:rPr>
          <w:b/>
          <w:bCs/>
        </w:rPr>
        <w:t>Top Tier (5-Star Ratings):</w:t>
      </w:r>
      <w:r w:rsidRPr="00C44591">
        <w:t xml:space="preserve"> Form the absolute majority of the funnel, capturing the largest segment of customer feedback.</w:t>
      </w:r>
    </w:p>
    <w:p w14:paraId="3BD72F2E" w14:textId="77777777" w:rsidR="00C44591" w:rsidRPr="00C44591" w:rsidRDefault="00C44591" w:rsidP="00C44591">
      <w:pPr>
        <w:numPr>
          <w:ilvl w:val="0"/>
          <w:numId w:val="4"/>
        </w:numPr>
      </w:pPr>
      <w:r w:rsidRPr="00C44591">
        <w:rPr>
          <w:b/>
          <w:bCs/>
        </w:rPr>
        <w:t>High Satisfaction (4-Star Ratings):</w:t>
      </w:r>
      <w:r w:rsidRPr="00C44591">
        <w:t xml:space="preserve"> Accounts for </w:t>
      </w:r>
      <w:r w:rsidRPr="00C44591">
        <w:rPr>
          <w:b/>
          <w:bCs/>
        </w:rPr>
        <w:t>0.84K</w:t>
      </w:r>
      <w:r w:rsidRPr="00C44591">
        <w:t xml:space="preserve"> reviews.</w:t>
      </w:r>
    </w:p>
    <w:p w14:paraId="4939D48C" w14:textId="77777777" w:rsidR="00C44591" w:rsidRPr="00C44591" w:rsidRDefault="00C44591" w:rsidP="00C44591">
      <w:pPr>
        <w:numPr>
          <w:ilvl w:val="0"/>
          <w:numId w:val="4"/>
        </w:numPr>
      </w:pPr>
      <w:r w:rsidRPr="00C44591">
        <w:rPr>
          <w:b/>
          <w:bCs/>
        </w:rPr>
        <w:t>Mid-to-Low Tier (1 to 3 Stars):</w:t>
      </w:r>
      <w:r w:rsidRPr="00C44591">
        <w:t xml:space="preserve"> Comprises the lowest percentage of the funnel, with 2-star reviews tracking at </w:t>
      </w:r>
      <w:r w:rsidRPr="00C44591">
        <w:rPr>
          <w:b/>
          <w:bCs/>
        </w:rPr>
        <w:t>0.54K</w:t>
      </w:r>
      <w:r w:rsidRPr="00C44591">
        <w:t xml:space="preserve"> and 1-star reviews representing a minor </w:t>
      </w:r>
      <w:r w:rsidRPr="00C44591">
        <w:rPr>
          <w:b/>
          <w:bCs/>
        </w:rPr>
        <w:t>20.8%</w:t>
      </w:r>
      <w:r w:rsidRPr="00C44591">
        <w:t xml:space="preserve"> of the bottom-funnel distribution.</w:t>
      </w:r>
    </w:p>
    <w:p w14:paraId="4A9BDAB9" w14:textId="77777777" w:rsidR="00C44591" w:rsidRPr="00C44591" w:rsidRDefault="00C44591" w:rsidP="00C44591">
      <w:pPr>
        <w:rPr>
          <w:b/>
          <w:bCs/>
        </w:rPr>
      </w:pPr>
      <w:r w:rsidRPr="00C44591">
        <w:rPr>
          <w:b/>
          <w:bCs/>
        </w:rPr>
        <w:t>6. Strategic Business Recommendations</w:t>
      </w:r>
    </w:p>
    <w:p w14:paraId="5822B935" w14:textId="77777777" w:rsidR="00C44591" w:rsidRPr="00C44591" w:rsidRDefault="00C44591" w:rsidP="00C44591">
      <w:pPr>
        <w:numPr>
          <w:ilvl w:val="0"/>
          <w:numId w:val="5"/>
        </w:numPr>
      </w:pPr>
      <w:r w:rsidRPr="00C44591">
        <w:rPr>
          <w:b/>
          <w:bCs/>
        </w:rPr>
        <w:t>Inventory Optimization for Q3 Dip:</w:t>
      </w:r>
      <w:r w:rsidRPr="00C44591">
        <w:t xml:space="preserve"> Investigate the consistent revenue drop-off in September ($57M). Implement targeted promotional campaigns or distributor incentives in late Q2 to smooth out the Q3 slump.</w:t>
      </w:r>
    </w:p>
    <w:p w14:paraId="47280377" w14:textId="77777777" w:rsidR="00C44591" w:rsidRPr="00C44591" w:rsidRDefault="00C44591" w:rsidP="00C44591">
      <w:pPr>
        <w:numPr>
          <w:ilvl w:val="0"/>
          <w:numId w:val="5"/>
        </w:numPr>
      </w:pPr>
      <w:r w:rsidRPr="00C44591">
        <w:rPr>
          <w:b/>
          <w:bCs/>
        </w:rPr>
        <w:t>Capitalize on July Influx:</w:t>
      </w:r>
      <w:r w:rsidRPr="00C44591">
        <w:t xml:space="preserve"> Since July marks the annual peak for both revenue ($70M) and volume (1,700 units), marketing budgets and inventory stockpiling should be maximized in Q2 to avoid stockouts during this high-demand window.</w:t>
      </w:r>
    </w:p>
    <w:p w14:paraId="6519C492" w14:textId="77777777" w:rsidR="00C44591" w:rsidRPr="00C44591" w:rsidRDefault="00C44591" w:rsidP="00C44591">
      <w:pPr>
        <w:numPr>
          <w:ilvl w:val="0"/>
          <w:numId w:val="5"/>
        </w:numPr>
      </w:pPr>
      <w:r w:rsidRPr="00C44591">
        <w:rPr>
          <w:b/>
          <w:bCs/>
        </w:rPr>
        <w:lastRenderedPageBreak/>
        <w:t>Payment Method Incentives:</w:t>
      </w:r>
      <w:r w:rsidRPr="00C44591">
        <w:t xml:space="preserve"> Because UPI (26.36%) and Credit Cards (24.69%) make up over half of all transactions, establishing banking partnerships or cash-back rewards programs with specific credit providers or UPI portals could lower processing costs and drive higher order volumes.</w:t>
      </w:r>
    </w:p>
    <w:p w14:paraId="0A66A31A" w14:textId="77777777" w:rsidR="00F632D2" w:rsidRDefault="00F632D2"/>
    <w:sectPr w:rsidR="00F632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0A53"/>
    <w:multiLevelType w:val="multilevel"/>
    <w:tmpl w:val="84B4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9072A"/>
    <w:multiLevelType w:val="multilevel"/>
    <w:tmpl w:val="0B426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8A3AC0"/>
    <w:multiLevelType w:val="multilevel"/>
    <w:tmpl w:val="157C9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E2444E"/>
    <w:multiLevelType w:val="multilevel"/>
    <w:tmpl w:val="6798C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BD6A64"/>
    <w:multiLevelType w:val="multilevel"/>
    <w:tmpl w:val="B688F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9147604">
    <w:abstractNumId w:val="3"/>
  </w:num>
  <w:num w:numId="2" w16cid:durableId="1544947848">
    <w:abstractNumId w:val="0"/>
  </w:num>
  <w:num w:numId="3" w16cid:durableId="538395370">
    <w:abstractNumId w:val="4"/>
  </w:num>
  <w:num w:numId="4" w16cid:durableId="1157720237">
    <w:abstractNumId w:val="2"/>
  </w:num>
  <w:num w:numId="5" w16cid:durableId="8906517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591"/>
    <w:rsid w:val="005B3224"/>
    <w:rsid w:val="006F16D9"/>
    <w:rsid w:val="00763419"/>
    <w:rsid w:val="007E7B93"/>
    <w:rsid w:val="00C44591"/>
    <w:rsid w:val="00F63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25654"/>
  <w15:chartTrackingRefBased/>
  <w15:docId w15:val="{F34F01DE-52DA-4A29-AF17-231CEF406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45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5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5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5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5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5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5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5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5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5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5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5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5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5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5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5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5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5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5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5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5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5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5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5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5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5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5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5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5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644</Words>
  <Characters>3671</Characters>
  <Application>Microsoft Office Word</Application>
  <DocSecurity>0</DocSecurity>
  <Lines>30</Lines>
  <Paragraphs>8</Paragraphs>
  <ScaleCrop>false</ScaleCrop>
  <Company/>
  <LinksUpToDate>false</LinksUpToDate>
  <CharactersWithSpaces>4307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vinit Moroliya</dc:creator>
  <cp:keywords/>
  <dc:description/>
  <cp:lastModifiedBy>vinit Moroliya</cp:lastModifiedBy>
  <cp:revision>1</cp:revision>
  <dcterms:created xsi:type="dcterms:W3CDTF">2026-06-21T07:24:00Z</dcterms:created>
  <dcterms:modified xsi:type="dcterms:W3CDTF">2026-06-21T07:24:00Z</dcterms:modified>
</cp:coreProperties>
</file>