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Distributed Agent Registry</w:t>
      </w:r>
    </w:p>
    <w:p>
      <w:pPr>
        <w:spacing w:after="80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Attribute Specification</w:t>
      </w:r>
    </w:p>
    <w:p>
      <w:pPr>
        <w:spacing w:after="3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3.2  |  April 2026  |  Vinit Singh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Distributed Agent Registry (DAR) provides a standardized way for AI agents to prove their identity, capabilities, authorization scope, and payment readiness to merchants and service providers.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design synthesizes three industry approaches: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Visa TAP: </w:t>
      </w:r>
      <w:r>
        <w:rPr>
          <w:rFonts w:ascii="Arial" w:cs="Arial" w:eastAsia="Arial" w:hAnsi="Arial"/>
          <w:sz w:val="22"/>
          <w:szCs w:val="22"/>
        </w:rPr>
        <w:t xml:space="preserve">Cryptographic agent identity + intent signatures (RFC 9421)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UCP/AP2: </w:t>
      </w:r>
      <w:r>
        <w:rPr>
          <w:rFonts w:ascii="Arial" w:cs="Arial" w:eastAsia="Arial" w:hAnsi="Arial"/>
          <w:sz w:val="22"/>
          <w:szCs w:val="22"/>
        </w:rPr>
        <w:t xml:space="preserve">Capability discovery + payment handler interop + cart mandate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Skyfire KYA: </w:t>
      </w:r>
      <w:r>
        <w:rPr>
          <w:rFonts w:ascii="Arial" w:cs="Arial" w:eastAsia="Arial" w:hAnsi="Arial"/>
          <w:sz w:val="22"/>
          <w:szCs w:val="22"/>
        </w:rPr>
        <w:t xml:space="preserve">Know-Your-Agent verification via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registry is distributed — no single authority. Multiple issuers (PSPs, platforms, identity providers) can register agents. Merchants verify agents using public keys fetched from the issuer’s JWKS endpoint.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1. Agent Identity Attributes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identity established during boarding. Immutable after issuance.</w:t>
      </w:r>
    </w:p>
    <w:p>
      <w:pPr>
        <w:pStyle w:val="Heading3"/>
      </w:pPr>
      <w:r>
        <w:t xml:space="preserve">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Globally unique identifier (e.g. agent_a1b2c3d4e5f6)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agent_did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W3C DID using did:web method. Resolves to DID Document at https://{host}/agents/{id}/did.json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Human-readable agent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version of agent software</w:t>
            </w:r>
          </w:p>
        </w:tc>
      </w:tr>
    </w:tbl>
    <w:p>
      <w:pPr>
        <w:pStyle w:val="Heading3"/>
      </w:pPr>
      <w:r>
        <w:t xml:space="preserve">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organization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3166-1 alpha-2 country code</w:t>
            </w:r>
          </w:p>
        </w:tc>
      </w:tr>
    </w:tbl>
    <w:p>
      <w:pPr>
        <w:pStyle w:val="Heading3"/>
      </w:pPr>
      <w:r>
        <w:t xml:space="preserve">Issuer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Registry/PSP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issuer_did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Issuer’s own DID for cross-registry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jwks_uri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JWKS endpoint for public key distribution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trust_framework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visa-tap | google-ap2 | skyfire-kya | custom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2. Agent Capabilities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agent is authorized to do. Defines the trust boundary.</w:t>
      </w:r>
    </w:p>
    <w:p>
      <w:pPr>
        <w:pStyle w:val="Heading3"/>
      </w:pPr>
      <w:r>
        <w:t xml:space="preserve">Intents (Visa TAP Agent Intent)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</w:t>
      </w:r>
      <w:r>
        <w:rPr>
          <w:rFonts w:ascii="Arial" w:cs="Arial" w:eastAsia="Arial" w:hAnsi="Arial"/>
          <w:sz w:val="22"/>
          <w:szCs w:val="22"/>
        </w:rPr>
        <w:t xml:space="preserve"> — retrieve product/service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</w:t>
      </w:r>
      <w:r>
        <w:rPr>
          <w:rFonts w:ascii="Arial" w:cs="Arial" w:eastAsia="Arial" w:hAnsi="Arial"/>
          <w:sz w:val="22"/>
          <w:szCs w:val="22"/>
        </w:rPr>
        <w:t xml:space="preserve"> — execute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subscribe</w:t>
      </w:r>
      <w:r>
        <w:rPr>
          <w:rFonts w:ascii="Arial" w:cs="Arial" w:eastAsia="Arial" w:hAnsi="Arial"/>
          <w:sz w:val="22"/>
          <w:szCs w:val="22"/>
        </w:rPr>
        <w:t xml:space="preserve"> — create recurring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</w:t>
      </w:r>
      <w:r>
        <w:rPr>
          <w:rFonts w:ascii="Arial" w:cs="Arial" w:eastAsia="Arial" w:hAnsi="Arial"/>
          <w:sz w:val="22"/>
          <w:szCs w:val="22"/>
        </w:rPr>
        <w:t xml:space="preserve"> — initiate returns/refunds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negotiate</w:t>
      </w:r>
      <w:r>
        <w:rPr>
          <w:rFonts w:ascii="Arial" w:cs="Arial" w:eastAsia="Arial" w:hAnsi="Arial"/>
          <w:sz w:val="22"/>
          <w:szCs w:val="22"/>
        </w:rPr>
        <w:t xml:space="preserve"> — B2B price negotiation</w:t>
      </w:r>
    </w:p>
    <w:p>
      <w:pPr>
        <w:pStyle w:val="Heading3"/>
      </w:pPr>
      <w:r>
        <w:t xml:space="preserve">Commerce Protocols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MPP (Machine Payments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UCP (Google Universal Commerce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ACP (OpenAI Agentic Commerce Protocol)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x402 (Coinbase)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AP2 (Google Agent Payments Protocol)</w:t>
      </w:r>
    </w:p>
    <w:p>
      <w:pPr>
        <w:pStyle w:val="Heading3"/>
      </w:pPr>
      <w:r>
        <w:t xml:space="preserve">Transport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— direct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— Model Context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A2A — Google Agent-to-Agent</w:t>
      </w:r>
    </w:p>
    <w:p>
      <w:pPr>
        <w:pStyle w:val="Heading3"/>
      </w:pPr>
      <w:r>
        <w:t xml:space="preserve">Spending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per_transaction_limit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per single transaction (base units)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spending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monthly_limit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spending cap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auto_approve_threshold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Below this: no human approval needed (AP2)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 currencies (usd, eur, gbp)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3. Delegation &amp; Consent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Ties the agent back to the human or organization it acts for. Combines Visa TAP consumer recognition, Google AP2 cart mandate, and W3C DID-based identity.</w:t>
      </w:r>
    </w:p>
    <w:p>
      <w:pPr>
        <w:pStyle w:val="Heading3"/>
      </w:pPr>
      <w:r>
        <w:t xml:space="preserve">Consumer (W3C DID Identity)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consumer identifier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consumer_did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W3C DID (did:web) for portable identity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Identity provider has verified this consumer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authentication_method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webauthn | passkey | biometric | mfa | sso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verifiable_credential_uri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URI to W3C Verifiable Credential</w:t>
            </w:r>
          </w:p>
        </w:tc>
      </w:tr>
    </w:tbl>
    <w:p>
      <w:pPr>
        <w:pStyle w:val="Heading3"/>
      </w:pPr>
      <w:r>
        <w:t xml:space="preserve">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delegated | autonomous | supervised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Colon-separated: purchase:digital_services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RFC 3339 expiry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revocation_uri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to revoke consent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cart_mandate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AP2 cryptographic consent proof (see below)</w:t>
            </w:r>
          </w:p>
        </w:tc>
      </w:tr>
    </w:tbl>
    <w:p>
      <w:pPr>
        <w:pStyle w:val="Heading3"/>
      </w:pPr>
      <w:r>
        <w:t xml:space="preserve">Cart Mandate (Google AP2)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Cryptographic proof that the consumer consented to the agent making purchases within defined constraints. Signed by the consumer’s private key (from consumer_did).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mandate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Consumer’s Ed25519 signature over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of signer (must match consumer_did)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action:category:constraint (e.g. purchase:digital_services:max_1000_usd)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Mandate expiry</w:t>
            </w:r>
          </w:p>
        </w:tc>
      </w:tr>
    </w:tbl>
    <w:p>
      <w:pPr>
        <w:pStyle w:val="Heading3"/>
      </w:pPr>
      <w:r>
        <w:t xml:space="preserve">Merchant Context (Visa TAP Consumer Recognition)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Per-merchant array. Each entry enables returning-customer detection, loyalty integration, and card-on-file matching.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merchant_domain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Merchant domain this context applies 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loyalty_id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Consumer’s loyalty/membership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payment_account_reference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 PAR — links to card-on-file without exposing PAN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network_token_id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Visa/MC network token for stored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device_fingerprint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ID for returning-customer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prior_interaction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 consumer purchased from this merchant before?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prior agent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 (ISO), postal_code, region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4. Payment Methods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Wallet is auto-created when the first card is added via POST /agents/{id}/cards. Wallet ID is internal.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| stablecoin | lightning | bank_account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brand (visa, mastercard)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4 digits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token, not raw PAN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payment_account_reference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 PAR for card-on-file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network_token_id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token ID for tokenized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spending_limit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spend in base units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5. Cryptographic Identity (Visa TAP)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signs every HTTP request using HTTP Message Signatures (RFC 9421). Merchant verifies locally using cached JWKS — no registry call at transaction time.</w:t>
      </w:r>
    </w:p>
    <w:p>
      <w:pPr>
        <w:pStyle w:val="Heading3"/>
      </w:pPr>
      <w:r>
        <w:t xml:space="preserve">Signing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| ecdsa-p256 | rsa-pss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ID (e.g. kid_agent_a1b2c3_2026Q2)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public key (base64url)</w:t>
            </w:r>
          </w:p>
        </w:tc>
      </w:tr>
    </w:tbl>
    <w:p>
      <w:pPr>
        <w:pStyle w:val="Heading3"/>
      </w:pPr>
      <w:r>
        <w:t xml:space="preserve">Signature Components (RFC 9421)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@authority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Merchant domain (prevents cross-site replay)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being accessed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method (GET, POST)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signature-agent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DID (identifies the signer)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(prevents delayed replay)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value (prevents immediate replay)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 TAP intent: browsing | payment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6. Trust &amp;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trail, risk signals, compliance status. Trust is earned from transaction history, not self-declared.</w:t>
      </w:r>
    </w:p>
    <w:p>
      <w:pPr>
        <w:pStyle w:val="Heading3"/>
      </w:pPr>
      <w:r>
        <w:t xml:space="preserve">Trust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0–100 computed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trust_level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unverified | basic | verified |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kya.status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in_review | approved | suspended | revoked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dispute_rate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 of disputed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chargeback_count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chargebacks</w:t>
            </w:r>
          </w:p>
        </w:tc>
      </w:tr>
    </w:tbl>
    <w:p>
      <w:pPr>
        <w:pStyle w:val="Heading3"/>
      </w:pPr>
      <w: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PSD2 SCA exemption status (EU Strong Customer Authentication)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PCI DSS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GDPR data processing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AML screening status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7. Cross-Registry Federation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one agent identity across multiple registries (Visa TAP, Google AP2, Skyfire KYA) so it’s recognized everywhere without re-boarding. Federation is an attribute on the agent record, managed via PATCH /agents/{id}.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visa-tap | google-ap2 | skyfire-kya | custom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Agent’s ID in the external registry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external_did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Agent’s DID in external registry (cross-resolution)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| linked | unlinked | revoked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Key Design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DID-based identity</w:t>
      </w:r>
      <w:r>
        <w:rPr>
          <w:rFonts w:ascii="Arial" w:cs="Arial" w:eastAsia="Arial" w:hAnsi="Arial"/>
          <w:sz w:val="22"/>
          <w:szCs w:val="22"/>
        </w:rPr>
        <w:t xml:space="preserve"> — W3C Decentralized Identifiers allow agents to have portable identity across registries without a central authority.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Federated, not centralized</w:t>
      </w:r>
      <w:r>
        <w:rPr>
          <w:rFonts w:ascii="Arial" w:cs="Arial" w:eastAsia="Arial" w:hAnsi="Arial"/>
          <w:sz w:val="22"/>
          <w:szCs w:val="22"/>
        </w:rPr>
        <w:t xml:space="preserve"> — Multiple PSPs/platforms can issue agent entries. Cross-registry linking allows a single agent to be recognized across Visa TAP, Google AP2, and Skyfire KYA simultaneously.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Message Signatures</w:t>
      </w:r>
      <w:r>
        <w:rPr>
          <w:rFonts w:ascii="Arial" w:cs="Arial" w:eastAsia="Arial" w:hAnsi="Arial"/>
          <w:sz w:val="22"/>
          <w:szCs w:val="22"/>
        </w:rPr>
        <w:t xml:space="preserve"> — Standard RFC 9421 signatures. Merchants verify locally using cached JWKS. No custom crypto.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 auto-created on first card</w:t>
      </w:r>
      <w:r>
        <w:rPr>
          <w:rFonts w:ascii="Arial" w:cs="Arial" w:eastAsia="Arial" w:hAnsi="Arial"/>
          <w:sz w:val="22"/>
          <w:szCs w:val="22"/>
        </w:rPr>
        <w:t xml:space="preserve"> — No separate wallet lifecycle. POST /agents/{id}/cards creates the wallet internally.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is earned, not declared</w:t>
      </w:r>
      <w:r>
        <w:rPr>
          <w:rFonts w:ascii="Arial" w:cs="Arial" w:eastAsia="Arial" w:hAnsi="Arial"/>
          <w:sz w:val="22"/>
          <w:szCs w:val="22"/>
        </w:rPr>
        <w:t xml:space="preserve"> — Trust score computed from transaction history, dispute rate, KYA checks, and compliance.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Consent is explicit and revocable</w:t>
      </w:r>
      <w:r>
        <w:rPr>
          <w:rFonts w:ascii="Arial" w:cs="Arial" w:eastAsia="Arial" w:hAnsi="Arial"/>
          <w:sz w:val="22"/>
          <w:szCs w:val="22"/>
        </w:rPr>
        <w:t xml:space="preserve"> — Every delegation has scope, expiry, and revocation URI. Matches PSD2/SCA for EU.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2026-04-06T19:52:14.491Z</dcterms:created>
  <dcterms:modified xsi:type="dcterms:W3CDTF">2026-04-06T19:52:14.492Z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