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Noto Serif CJK KR" w:hAnsi="Noto Serif CJK KR" w:eastAsia="Noto Serif CJK KR"/>
          <w:b/>
          <w:sz w:val="21"/>
        </w:rPr>
        <w:t>다국어 입력 환경에서 동일 LLM 패밀리의</w:t>
        <w:br/>
        <w:t>추론 안정성과 오류 유형 비교 분석</w:t>
      </w:r>
    </w:p>
    <w:p>
      <w:pPr>
        <w:jc w:val="center"/>
      </w:pPr>
      <w:r>
        <w:rPr>
          <w:rFonts w:ascii="Noto Serif CJK KR" w:hAnsi="Noto Serif CJK KR" w:eastAsia="Noto Serif CJK KR"/>
          <w:b/>
          <w:sz w:val="21"/>
        </w:rPr>
        <w:t>P2-Bench: Claude Opus 5.5와 Claude Sonnet 5.5를 중심으로</w:t>
      </w:r>
    </w:p>
    <w:p>
      <w:pPr>
        <w:spacing w:before="360"/>
        <w:jc w:val="center"/>
      </w:pPr>
      <w:r>
        <w:rPr>
          <w:rFonts w:ascii="Noto Serif CJK KR" w:hAnsi="Noto Serif CJK KR" w:eastAsia="Noto Serif CJK KR"/>
          <w:b w:val="0"/>
          <w:i/>
          <w:sz w:val="21"/>
        </w:rPr>
        <w:t>Reasoning Stability and Error Patterns Across Languages Within an LLM Family:</w:t>
        <w:br/>
        <w:t>A P2-Bench Study of Claude Opus 5.5 and Claude Sonnet 5.5</w:t>
      </w:r>
    </w:p>
    <w:p>
      <w:pPr>
        <w:spacing w:before="800"/>
        <w:jc w:val="center"/>
      </w:pPr>
      <w:r>
        <w:rPr>
          <w:rFonts w:ascii="Noto Serif CJK KR" w:hAnsi="Noto Serif CJK KR" w:eastAsia="Noto Serif CJK KR"/>
          <w:sz w:val="21"/>
        </w:rPr>
        <w:t>최종 제출본  |  2026-10-06</w:t>
      </w:r>
    </w:p>
    <w:p>
      <w:pPr>
        <w:jc w:val="center"/>
      </w:pPr>
      <w:r>
        <w:rPr>
          <w:rFonts w:ascii="Noto Serif CJK KR" w:hAnsi="Noto Serif CJK KR" w:eastAsia="Noto Serif CJK KR"/>
          <w:sz w:val="21"/>
        </w:rPr>
        <w:br w:type="page"/>
      </w:r>
    </w:p>
    <w:p>
      <w:pPr>
        <w:pStyle w:val="Heading1"/>
        <w:keepNext/>
      </w:pPr>
      <w:r>
        <w:rPr>
          <w:rFonts w:ascii="Noto Sans CJK KR" w:hAnsi="Noto Sans CJK KR" w:eastAsia="Noto Sans CJK KR"/>
          <w:sz w:val="28"/>
        </w:rPr>
        <w:t>초록</w:t>
      </w:r>
    </w:p>
    <w:p>
      <w:pPr>
        <w:spacing w:line="348" w:lineRule="auto" w:after="100"/>
        <w:ind w:firstLine="397"/>
        <w:jc w:val="both"/>
      </w:pPr>
      <w:r>
        <w:rPr>
          <w:rFonts w:ascii="Noto Serif CJK KR" w:hAnsi="Noto Serif CJK KR" w:eastAsia="Noto Serif CJK KR"/>
          <w:sz w:val="21"/>
        </w:rPr>
        <w:t>본 연구는 동일 대규모 언어 모델(LLM) 패밀리 내에서 모델 등급과 입력 언어가 추론 안정성, 오류 유형, 설명 품질에 미치는 영향을 비교하기 위해 P2-Bench를 설계하고 Claude Opus 5.5와 Claude Sonnet 5.5를 평가하였다. P2-Bench는 Mathematics, Logic, Science, Error Detection의 네 영역에서 60개 한국어·영어 대응 문항을 제공하며, 최종 답 정확성(40), 추론 과정(25), 조건 검토(15), 오류 인정·검증(10), 설명 명확성(10)의 100점 루브릭과 오류코드를 결합한다. 최종 본실험은 2개 모델 × 2개 언어 × 60문항의 240개 응답으로 구성되었다. R2 QC 이후 236개 응답(98.3%)이 100점을 기록했으며, Opus는 KR/EN 모두 평균 100.000, Sonnet은 KR 100.000, EN 99.817이었다. Sonnet KR–EN 및 Opus–Sonnet EN 비교에서 평균 paired difference는 각각 0.183점이었고 exact sign test는 p=0.125, Cohen’s d_z는 약 0.245였다. 비완벽 응답 4건은 모두 Sonnet-EN에서 관찰되었으나, 강한 ceiling effect 때문에 안정적인 모델 또는 언어 효과로 일반화하기에는 근거가 제한적이었다. 질적 오류 분석에서는 일시적 논리 오류와 조건 해석 오류의 자기수정, 정보불충분 상황에서의 과잉추론, 설명 내부의 국소적 모순이 관찰되었다. 결과는 최신 고성능 LLM에서 단순 평균 점수보다 언어 간 paired stability와 실패·회복 패턴, 그리고 벤치마크 자체의 변별력을 함께 분석할 필요가 있음을 보여준다.</w:t>
      </w:r>
    </w:p>
    <w:p>
      <w:pPr>
        <w:spacing w:line="348" w:lineRule="auto" w:after="100"/>
        <w:ind w:firstLine="0"/>
        <w:jc w:val="both"/>
      </w:pPr>
      <w:r>
        <w:rPr>
          <w:rFonts w:ascii="Noto Serif CJK KR" w:hAnsi="Noto Serif CJK KR" w:eastAsia="Noto Serif CJK KR"/>
          <w:sz w:val="21"/>
        </w:rPr>
        <w:t>주요어: 대규모 언어 모델, 다국어 추론, 교차언어 평가, 추론 안정성, 오류 분석, Claude, 벤치마크</w:t>
      </w:r>
    </w:p>
    <w:p>
      <w:pPr>
        <w:pStyle w:val="Heading1"/>
        <w:keepNext/>
      </w:pPr>
      <w:r>
        <w:rPr>
          <w:rFonts w:ascii="Noto Sans CJK KR" w:hAnsi="Noto Sans CJK KR" w:eastAsia="Noto Sans CJK KR"/>
          <w:sz w:val="28"/>
        </w:rPr>
        <w:t>English Abstract</w:t>
      </w:r>
    </w:p>
    <w:p>
      <w:pPr>
        <w:spacing w:after="80"/>
        <w:ind w:firstLine="0"/>
      </w:pPr>
      <w:r>
        <w:rPr>
          <w:rFonts w:ascii="Noto Serif CJK KR" w:hAnsi="Noto Serif CJK KR" w:eastAsia="Noto Serif CJK KR"/>
          <w:sz w:val="21"/>
        </w:rPr>
        <w:t>This study introduces P2-Bench to examine how model tier and input language affect reasoning stability, error patterns, and explanation quality within a single large language model family. Claude Opus 5.5 and Claude Sonnet 5.5 were evaluated on 60 paired Korean and English items spanning Mathematics, Logic, Science, and Error Detection, yielding 240 main-experiment responses. Responses were scored on a 100-point rubric covering final-answer accuracy, reasoning quality, condition checking, error recognition and verification, and explanation clarity. After R2 quality control, 236 of 240 responses (98.3%) received perfect scores, revealing a pronounced ceiling effect. Opus achieved 100.000 in both Korean and English, while Sonnet achieved 100.000 in Korean and 99.817 in English. For Sonnet, the mean paired difference between Korean and English was 0.183 points; four non-zero differences all favored Korean, but the exact sign test was not statistically significant (p = .125; Cohen's dz = 0.245). All four non-perfect responses occurred under the Sonnet-English condition and included transient logical and condition-interpretation errors followed by self-correction, over-inference under insufficient information, and a localized inconsistency in explanation. The findings therefore do not support a strong ranking claim between the two models. Instead, they show that, under a saturated benchmark, qualitative failure and recovery patterns can be more informative than mean-score differences. The 98.3% ceiling rate also provides empirical evidence that future versions of P2-Bench should increase item difficulty and strengthen fine-grained evaluation of transient errors, self-correction, and uncertainty calibration.</w:t>
      </w:r>
    </w:p>
    <w:p>
      <w:pPr>
        <w:ind w:firstLine="0"/>
      </w:pPr>
      <w:r>
        <w:rPr>
          <w:rFonts w:ascii="Noto Serif CJK KR" w:hAnsi="Noto Serif CJK KR" w:eastAsia="Noto Serif CJK KR"/>
          <w:sz w:val="21"/>
        </w:rPr>
        <w:t>Keywords: large language model, multilingual reasoning, cross-lingual evaluation, reasoning stability, error analysis, Claude, benchmark</w:t>
      </w:r>
    </w:p>
    <w:p>
      <w:pPr>
        <w:pStyle w:val="Heading1"/>
        <w:keepNext/>
      </w:pPr>
      <w:r>
        <w:rPr>
          <w:rFonts w:ascii="Noto Sans CJK KR" w:hAnsi="Noto Sans CJK KR" w:eastAsia="Noto Sans CJK KR"/>
          <w:sz w:val="28"/>
        </w:rPr>
        <w:t>1. Introduction</w:t>
      </w:r>
    </w:p>
    <w:p>
      <w:pPr>
        <w:spacing w:line="348" w:lineRule="auto" w:after="100"/>
        <w:ind w:firstLine="397"/>
        <w:jc w:val="both"/>
      </w:pPr>
      <w:r>
        <w:rPr>
          <w:rFonts w:ascii="Noto Serif CJK KR" w:hAnsi="Noto Serif CJK KR" w:eastAsia="Noto Serif CJK KR"/>
          <w:i w:val="0"/>
          <w:sz w:val="21"/>
        </w:rPr>
        <w:t>대규모 언어 모델의 성능 평가가 영어 중심의 단일 점수 비교에서 실제 사용 환경의 안정성 평가로 확장되면서, 동일한 의미의 문제가 언어만 달라졌을 때 모델의 추론 결과가 얼마나 일관되게 유지되는지가 중요한 연구 문제로 부상하고 있다. 다국어 추론 연구는 수학 문제를 중심으로 모델 규모가 커질수록 여러 언어에서 chain-of-thought 추론이 가능해짐을 보였지만(Shi et al., 2023), 후속 연구는 언어별 성능 편차와 다국어 추론 일관성이 여전히 완전히 해결되지 않았음을 보고하였다(Lai &amp; Nissim, 2024).</w:t>
      </w:r>
    </w:p>
    <w:p>
      <w:pPr>
        <w:spacing w:line="348" w:lineRule="auto" w:after="100"/>
        <w:ind w:firstLine="397"/>
        <w:jc w:val="both"/>
      </w:pPr>
      <w:r>
        <w:rPr>
          <w:rFonts w:ascii="Noto Serif CJK KR" w:hAnsi="Noto Serif CJK KR" w:eastAsia="Noto Serif CJK KR"/>
          <w:i w:val="0"/>
          <w:sz w:val="21"/>
        </w:rPr>
        <w:t>본 연구의 관심은 단순한 모델 순위가 아니다. 동일 모델 패밀리 안에서도 상위 등급과 범용 등급이 입력 언어 변화에 대해 동일한 안정성을 보이는지, 그리고 실패가 발생할 때 그 실패가 계산, 조건 해석, 정보 충분성, 논리적 추론, 자기수정과 같은 어떤 형태로 나타나는지를 분석하는 데 목적이 있다. 이러한 관점은 단일 정답률이나 평균 점수가 포착하지 못하는 추론의 질적 차이를 드러낼 수 있다.</w:t>
      </w:r>
    </w:p>
    <w:p>
      <w:pPr>
        <w:spacing w:line="348" w:lineRule="auto" w:after="100"/>
        <w:ind w:firstLine="397"/>
        <w:jc w:val="both"/>
      </w:pPr>
      <w:r>
        <w:rPr>
          <w:rFonts w:ascii="Noto Serif CJK KR" w:hAnsi="Noto Serif CJK KR" w:eastAsia="Noto Serif CJK KR"/>
          <w:i w:val="0"/>
          <w:sz w:val="21"/>
        </w:rPr>
        <w:t>이에 본 연구는 P2-Bench를 이용하여 Claude 5.5 패밀리의 Opus 5.5와 Sonnet 5.5를 한국어와 영어 조건에서 동일한 60문항으로 평가한다. Anthropic은 Opus 5.5를 복잡한 작업과 높은 판단 요구를 위한 상위 모델로, Sonnet 5.5를 더 빠르고 비용 효율적인 보완 모델로 설명하고 있다(Anthropic, 2026a; 2026b). 동일 공급자 및 동일 세대의 두 모델을 비교함으로써 공급자 간 시스템 차이보다 모델 등급과 입력 언어의 관계에 초점을 맞춘다.</w:t>
      </w:r>
    </w:p>
    <w:p>
      <w:pPr>
        <w:pStyle w:val="Heading2"/>
        <w:keepNext/>
      </w:pPr>
      <w:r>
        <w:rPr>
          <w:rFonts w:ascii="Noto Sans CJK KR" w:hAnsi="Noto Sans CJK KR" w:eastAsia="Noto Sans CJK KR"/>
          <w:sz w:val="24"/>
        </w:rPr>
        <w:t>1.1 Research Gap and Contributions</w:t>
      </w:r>
    </w:p>
    <w:p>
      <w:r>
        <w:rPr>
          <w:rFonts w:ascii="Noto Serif CJK KR" w:hAnsi="Noto Serif CJK KR" w:eastAsia="Noto Serif CJK KR"/>
          <w:sz w:val="21"/>
        </w:rPr>
        <w:t>기존 다국어 추론 연구는 MGSM과 mCoT-MATH처럼 수학 중심 과제에서 언어별 정확도 또는 추론 일관성을 측정하는 경우가 많았고, SeaEval은 이를 의미적 일관성과 문화적 추론으로 확장하였다. 최근에는 multilingual chain-of-thought의 성능뿐 아니라 reasoning trace의 언어별 일관성과 faithfulness를 직접 측정하려는 연구도 등장했다(Zhao et al., 2025). 그러나 동일 상용 모델 패밀리의 서로 다른 등급을 대상으로, 한국어와 영어의 동일 문항을 paired structure로 고정하고, 최종 정답뿐 아니라 조건 검토·오류 인식·자기수정·설명 품질을 함께 정량화한 연구는 상대적으로 제한적이다.</w:t>
      </w:r>
    </w:p>
    <w:p>
      <w:r>
        <w:rPr>
          <w:rFonts w:ascii="Noto Serif CJK KR" w:hAnsi="Noto Serif CJK KR" w:eastAsia="Noto Serif CJK KR"/>
          <w:sz w:val="21"/>
        </w:rPr>
        <w:t>본 연구의 기여는 세 가지다. 첫째, 동일 Question_ID의 KR/EN 쌍을 사용해 언어 변화에 따른 추론 안정성을 직접 비교한다. 둘째, 동일 공급자의 Opus와 Sonnet을 비교하여 공급자·플랫폼 차이에서 발생할 수 있는 교란을 줄이고 모델 등급 효과를 탐색한다. 셋째, 최종 정답 정확도에 더해 transient error, self-correction, information-sufficiency failure, over-inference를 기록함으로써 고성능 모델에서 평균 점수가 포착하지 못하는 희소 실패 패턴을 분석한다.</w:t>
      </w:r>
    </w:p>
    <w:p>
      <w:pPr>
        <w:pStyle w:val="Heading2"/>
        <w:keepNext/>
      </w:pPr>
      <w:r>
        <w:rPr>
          <w:rFonts w:ascii="Noto Sans CJK KR" w:hAnsi="Noto Sans CJK KR" w:eastAsia="Noto Sans CJK KR"/>
          <w:sz w:val="24"/>
        </w:rPr>
        <w:t>1.2 Research Questions</w:t>
      </w:r>
    </w:p>
    <w:p>
      <w:pPr>
        <w:pStyle w:val="ListBullet"/>
        <w:spacing w:after="40"/>
        <w:ind w:left="454"/>
      </w:pPr>
      <w:r>
        <w:rPr>
          <w:rFonts w:ascii="Noto Serif CJK KR" w:hAnsi="Noto Serif CJK KR" w:eastAsia="Noto Serif CJK KR"/>
          <w:sz w:val="21"/>
        </w:rPr>
        <w:t>RQ1. Claude Opus 5.5와 Claude Sonnet 5.5는 동일 문항에서 추론 성능 및 오류 유형에 차이를 보이는가?</w:t>
      </w:r>
    </w:p>
    <w:p>
      <w:pPr>
        <w:pStyle w:val="ListBullet"/>
        <w:spacing w:after="40"/>
        <w:ind w:left="454"/>
      </w:pPr>
      <w:r>
        <w:rPr>
          <w:rFonts w:ascii="Noto Serif CJK KR" w:hAnsi="Noto Serif CJK KR" w:eastAsia="Noto Serif CJK KR"/>
          <w:sz w:val="21"/>
        </w:rPr>
        <w:t>RQ2. 동일 Claude 모델에서 한국어와 영어 입력 조건에 따라 추론 성능, 조건 검토, 설명 품질 및 오류 유형이 달라지는가?</w:t>
      </w:r>
    </w:p>
    <w:p>
      <w:pPr>
        <w:pStyle w:val="ListBullet"/>
        <w:spacing w:after="40"/>
        <w:ind w:left="454"/>
      </w:pPr>
      <w:r>
        <w:rPr>
          <w:rFonts w:ascii="Noto Serif CJK KR" w:hAnsi="Noto Serif CJK KR" w:eastAsia="Noto Serif CJK KR"/>
          <w:sz w:val="21"/>
        </w:rPr>
        <w:t>RQ3. 입력 언어의 효과는 Opus와 Sonnet에서 동일한가, 즉 Model × Language 상호작용을 시사하는 패턴이 존재하는가?</w:t>
      </w:r>
    </w:p>
    <w:p>
      <w:pPr>
        <w:pStyle w:val="ListBullet"/>
        <w:spacing w:after="40"/>
        <w:ind w:left="454"/>
      </w:pPr>
      <w:r>
        <w:rPr>
          <w:rFonts w:ascii="Noto Serif CJK KR" w:hAnsi="Noto Serif CJK KR" w:eastAsia="Noto Serif CJK KR"/>
          <w:sz w:val="21"/>
        </w:rPr>
        <w:t>RQ4. 모델 및 언어 효과는 Mathematics, Logic, Science, Error Detection 영역에 따라 다른 양상을 보이는가?</w:t>
      </w:r>
    </w:p>
    <w:p>
      <w:pPr>
        <w:pStyle w:val="Heading1"/>
        <w:keepNext/>
      </w:pPr>
      <w:r>
        <w:rPr>
          <w:rFonts w:ascii="Noto Sans CJK KR" w:hAnsi="Noto Sans CJK KR" w:eastAsia="Noto Sans CJK KR"/>
          <w:sz w:val="28"/>
        </w:rPr>
        <w:t>2. Related Work</w:t>
      </w:r>
    </w:p>
    <w:p>
      <w:pPr>
        <w:pStyle w:val="Heading2"/>
        <w:keepNext/>
      </w:pPr>
      <w:r>
        <w:rPr>
          <w:rFonts w:ascii="Noto Sans CJK KR" w:hAnsi="Noto Sans CJK KR" w:eastAsia="Noto Sans CJK KR"/>
          <w:sz w:val="24"/>
        </w:rPr>
        <w:t>2.1 Multilingual Reasoning Evaluation</w:t>
      </w:r>
    </w:p>
    <w:p>
      <w:pPr>
        <w:spacing w:line="348" w:lineRule="auto" w:after="100"/>
        <w:ind w:firstLine="397"/>
        <w:jc w:val="both"/>
      </w:pPr>
      <w:r>
        <w:rPr>
          <w:rFonts w:ascii="Noto Serif CJK KR" w:hAnsi="Noto Serif CJK KR" w:eastAsia="Noto Serif CJK KR"/>
          <w:i w:val="0"/>
          <w:sz w:val="21"/>
        </w:rPr>
        <w:t>MGSM은 GSM8K 수학 문항을 10개 언어로 수동 번역하여 다국어 수학 추론을 평가했으며, 모델 규모가 증가할수록 여러 언어에서 chain-of-thought 추론 능력이 나타남을 보고하였다(Shi et al., 2023). 이 연구는 다국어 추론 평가의 대표적인 출발점이지만, 평가 영역이 수학 중심이라는 한계가 있다.</w:t>
      </w:r>
    </w:p>
    <w:p>
      <w:pPr>
        <w:spacing w:line="348" w:lineRule="auto" w:after="100"/>
        <w:ind w:firstLine="397"/>
        <w:jc w:val="both"/>
      </w:pPr>
      <w:r>
        <w:rPr>
          <w:rFonts w:ascii="Noto Serif CJK KR" w:hAnsi="Noto Serif CJK KR" w:eastAsia="Noto Serif CJK KR"/>
          <w:i w:val="0"/>
          <w:sz w:val="21"/>
        </w:rPr>
        <w:t>Lai와 Nissim(2024)은 mCoT-MATH를 통해 11개 언어에서 추론 일관성을 분석하고, 기존 LLM에서 언어별 성능 변동이 상당함을 보고하였다. SeaEval은 단순 정확도 이외에도 다국어성과 의미 변형에 대한 brittleness를 평가하며, 의미적으로 동등한 다국어 질의에서 일관된 응답이 기대되어야 함을 강조한다(Wang et al., 2024). 이러한 연구들은 언어 간 평균 정확도뿐 아니라 동일 의미 입력에 대한 안정성 자체가 평가 대상이어야 함을 뒷받침한다.</w:t>
      </w:r>
    </w:p>
    <w:p>
      <w:r>
        <w:rPr>
          <w:rFonts w:ascii="Noto Serif CJK KR" w:hAnsi="Noto Serif CJK KR" w:eastAsia="Noto Serif CJK KR"/>
          <w:sz w:val="21"/>
        </w:rPr>
        <w:t>이후 Zhao et al.(2025)은 multilingual chain-of-thought를 성능(performance), 일관성(consistency), 충실성(faithfulness)의 세 차원으로 확장해 분석하고, prompt language에 따라 reasoning trace의 품질과 효과가 달라질 수 있음을 보고하였다. 이는 입력 언어 효과를 단순한 최종 정답률 차이로 환원하기 어렵다는 점을 보여주며, P2-Bench가 추론 과정과 자기수정을 별도로 기록하는 근거가 된다.</w:t>
      </w:r>
    </w:p>
    <w:p>
      <w:pPr>
        <w:pStyle w:val="Heading2"/>
        <w:keepNext/>
      </w:pPr>
      <w:r>
        <w:rPr>
          <w:rFonts w:ascii="Noto Sans CJK KR" w:hAnsi="Noto Sans CJK KR" w:eastAsia="Noto Sans CJK KR"/>
          <w:sz w:val="24"/>
        </w:rPr>
        <w:t>2.2 Translation and Benchmark Validity</w:t>
      </w:r>
    </w:p>
    <w:p>
      <w:pPr>
        <w:spacing w:line="348" w:lineRule="auto" w:after="100"/>
        <w:ind w:firstLine="397"/>
        <w:jc w:val="both"/>
      </w:pPr>
      <w:r>
        <w:rPr>
          <w:rFonts w:ascii="Noto Serif CJK KR" w:hAnsi="Noto Serif CJK KR" w:eastAsia="Noto Serif CJK KR"/>
          <w:i w:val="0"/>
          <w:sz w:val="21"/>
        </w:rPr>
        <w:t>다국어 벤치마크에서는 번역 자체가 측정오차의 원인이 될 수 있다. Plaza et al.(2024)은 MMLU의 스페인어 번역 사례에서 일부 실패가 모델의 언어 능력보다 번역 오류에 기인할 수 있음을 보였다. 따라서 P2-Bench는 KR/EN 문항을 고정된 쌍으로 관리하고 동일 Question_ID를 기준으로 paired comparison을 수행하여 문항별 차이를 직접 추적한다.</w:t>
      </w:r>
    </w:p>
    <w:p>
      <w:pPr>
        <w:pStyle w:val="Heading2"/>
        <w:keepNext/>
      </w:pPr>
      <w:r>
        <w:rPr>
          <w:rFonts w:ascii="Noto Sans CJK KR" w:hAnsi="Noto Sans CJK KR" w:eastAsia="Noto Sans CJK KR"/>
          <w:sz w:val="24"/>
        </w:rPr>
        <w:t>2.3 Within-Family Model Comparison</w:t>
      </w:r>
    </w:p>
    <w:p>
      <w:pPr>
        <w:spacing w:line="348" w:lineRule="auto" w:after="100"/>
        <w:ind w:firstLine="397"/>
        <w:jc w:val="both"/>
      </w:pPr>
      <w:r>
        <w:rPr>
          <w:rFonts w:ascii="Noto Serif CJK KR" w:hAnsi="Noto Serif CJK KR" w:eastAsia="Noto Serif CJK KR"/>
          <w:i w:val="0"/>
          <w:sz w:val="21"/>
        </w:rPr>
        <w:t>공급자가 서로 다른 모델을 비교할 경우 시스템 프롬프트, 제품 인터페이스, 후처리, 개인화와 같은 요소가 모델 자체의 차이와 혼재될 수 있다. 본 연구는 이러한 교란을 줄이기 위해 동일 Claude 5.5 패밀리 내의 Opus와 Sonnet에 분석 범위를 제한하였다. Anthropic의 공식 설명에서도 Sonnet 5.5는 Opus 5.5의 더 빠르고 저비용인 보완 모델로 제시되며, Opus는 더 복잡한 판단 과제에 초점을 둔다(Anthropic, 2026a; 2026b).</w:t>
      </w:r>
    </w:p>
    <w:p>
      <w:pPr>
        <w:pStyle w:val="Heading2"/>
        <w:keepNext/>
      </w:pPr>
      <w:r>
        <w:rPr>
          <w:rFonts w:ascii="Noto Sans CJK KR" w:hAnsi="Noto Sans CJK KR" w:eastAsia="Noto Sans CJK KR"/>
          <w:sz w:val="24"/>
        </w:rPr>
        <w:t>2.4 Benchmark Saturation and Discriminative Evaluation</w:t>
      </w:r>
    </w:p>
    <w:p>
      <w:r>
        <w:rPr>
          <w:rFonts w:ascii="Noto Serif CJK KR" w:hAnsi="Noto Serif CJK KR" w:eastAsia="Noto Serif CJK KR"/>
          <w:sz w:val="21"/>
        </w:rPr>
        <w:t>LLM 성능이 빠르게 향상되면서 기존 벤치마크의 점수가 포화되어 모델 간 차이를 구분하기 어려운 문제도 커지고 있다. MMLU-Pro는 기존 MMLU 성능이 plateau에 접근해 변별력이 낮아진다는 문제의식에서 더 복잡한 추론 문항과 확장된 선택지를 도입했고, 기존 MMLU보다 모델 정확도를 크게 낮추면서 prompt 변화에 대한 안정성도 높였다고 보고하였다(Wang et al., 2024b). LiveBench 역시 더 어려운 최신 문항과 객관적 채점을 통해 개선되는 모델을 계속 구분할 수 있도록 설계되었다(White et al., 2024). GPQA는 대학원 수준의 전문가 작성 문제를 사용해 당시 강력한 모델에도 어려운 평가 환경을 구축하였다(Rein et al., 2023). 이러한 흐름은 벤치마크의 ceiling effect 자체가 단순한 분석 장애가 아니라 차기 벤치마크 설계의 난이도와 변별력을 재조정해야 한다는 경험적 신호임을 시사한다.</w:t>
      </w:r>
    </w:p>
    <w:p>
      <w:pPr>
        <w:pStyle w:val="Heading1"/>
        <w:keepNext/>
      </w:pPr>
      <w:r>
        <w:rPr>
          <w:rFonts w:ascii="Noto Sans CJK KR" w:hAnsi="Noto Sans CJK KR" w:eastAsia="Noto Sans CJK KR"/>
          <w:sz w:val="28"/>
        </w:rPr>
        <w:t>3. Methodology</w:t>
      </w:r>
    </w:p>
    <w:p>
      <w:pPr>
        <w:pStyle w:val="Heading2"/>
        <w:keepNext/>
      </w:pPr>
      <w:r>
        <w:rPr>
          <w:rFonts w:ascii="Noto Sans CJK KR" w:hAnsi="Noto Sans CJK KR" w:eastAsia="Noto Sans CJK KR"/>
          <w:sz w:val="24"/>
        </w:rPr>
        <w:t>3.1 Study Design</w:t>
      </w:r>
    </w:p>
    <w:p>
      <w:pPr>
        <w:spacing w:line="348" w:lineRule="auto" w:after="100"/>
        <w:ind w:firstLine="397"/>
        <w:jc w:val="both"/>
      </w:pPr>
      <w:r>
        <w:rPr>
          <w:rFonts w:ascii="Noto Serif CJK KR" w:hAnsi="Noto Serif CJK KR" w:eastAsia="Noto Serif CJK KR"/>
          <w:i w:val="0"/>
          <w:sz w:val="21"/>
        </w:rPr>
        <w:t>최종 본실험은 2개 모델(Claude Opus 5.5, Claude Sonnet 5.5) × 2개 입력 언어(KR, EN) × 60개 문항의 완전 교차 설계로 구성되었다(N=240). 동일 모델의 KR/EN 응답은 동일 Question_ID를 기준으로 paired structure를 유지하며, 동일 언어에서 Opus와 Sonnet 또한 같은 문항 단위로 대응된다. 초기에는 GPT 계열을 포함한 3개 모델 설계를 고려했으나, 플랫폼 개인화와 출력 언어 통제 문제로 인한 잠재적 교란을 줄이기 위해 최종 confirmatory analysis는 Claude 패밀리로 제한하였다. GPT 관련 행은 삭제하지 않고 분석 제외 아카이브로 보존하였다.</w:t>
      </w:r>
    </w:p>
    <w:p>
      <w:pPr>
        <w:pStyle w:val="Heading2"/>
        <w:keepNext/>
      </w:pPr>
      <w:r>
        <w:rPr>
          <w:rFonts w:ascii="Noto Sans CJK KR" w:hAnsi="Noto Sans CJK KR" w:eastAsia="Noto Sans CJK KR"/>
          <w:sz w:val="24"/>
        </w:rPr>
        <w:t>3.2 Benchmark Composition</w:t>
      </w:r>
    </w:p>
    <w:p>
      <w:pPr>
        <w:keepNext/>
        <w:jc w:val="center"/>
      </w:pPr>
      <w:r>
        <w:rPr>
          <w:rFonts w:ascii="Noto Sans CJK KR" w:hAnsi="Noto Sans CJK KR" w:eastAsia="Noto Sans CJK KR"/>
          <w:b/>
          <w:sz w:val="19"/>
        </w:rPr>
        <w:t>표 1. P2-Bench v1.0의 영역별 문항 구성</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blHeader w:val="true"/>
          <w:cantSplit/>
        </w:trPr>
        <w:tc>
          <w:tcPr>
            <w:tcW w:type="dxa" w:w="1928"/>
            <w:shd w:fill="D9EAF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sz w:val="17"/>
              </w:rPr>
              <w:t>영역</w:t>
            </w:r>
          </w:p>
        </w:tc>
        <w:tc>
          <w:tcPr>
            <w:tcW w:type="dxa" w:w="1304"/>
            <w:shd w:fill="D9EAF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sz w:val="17"/>
              </w:rPr>
              <w:t>문항 수</w:t>
            </w:r>
          </w:p>
        </w:tc>
        <w:tc>
          <w:tcPr>
            <w:tcW w:type="dxa" w:w="5669"/>
            <w:shd w:fill="D9EAF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sz w:val="17"/>
              </w:rPr>
              <w:t>주요 평가 초점</w:t>
            </w:r>
          </w:p>
        </w:tc>
      </w:tr>
      <w:tr>
        <w:trPr>
          <w:cantSplit/>
          <w:cantSplit/>
        </w:trPr>
        <w:tc>
          <w:tcPr>
            <w:tcW w:type="dxa" w:w="1928"/>
            <w:tcMar>
              <w:top w:w="80" w:type="dxa"/>
              <w:start w:w="80" w:type="dxa"/>
              <w:bottom w:w="80" w:type="dxa"/>
              <w:end w:w="80" w:type="dxa"/>
            </w:tcMar>
            <w:vAlign w:val="center"/>
          </w:tcPr>
          <w:p>
            <w:pPr>
              <w:spacing w:after="0" w:line="264" w:lineRule="auto"/>
              <w:jc w:val="left"/>
            </w:pPr>
            <w:r>
              <w:rPr>
                <w:rFonts w:ascii="Noto Sans CJK KR" w:hAnsi="Noto Sans CJK KR" w:eastAsia="Noto Sans CJK KR"/>
                <w:b w:val="0"/>
                <w:sz w:val="17"/>
              </w:rPr>
              <w:t>Mathematics</w:t>
            </w:r>
          </w:p>
        </w:tc>
        <w:tc>
          <w:tcPr>
            <w:tcW w:type="dxa" w:w="1304"/>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15</w:t>
            </w:r>
          </w:p>
        </w:tc>
        <w:tc>
          <w:tcPr>
            <w:tcW w:type="dxa" w:w="5669"/>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계산, 대수, 수열, 비율, 조건 적용</w:t>
            </w:r>
          </w:p>
        </w:tc>
      </w:tr>
      <w:tr>
        <w:trPr>
          <w:cantSplit/>
          <w:cantSplit/>
        </w:trPr>
        <w:tc>
          <w:tcPr>
            <w:tcW w:type="dxa" w:w="1928"/>
            <w:tcMar>
              <w:top w:w="80" w:type="dxa"/>
              <w:start w:w="80" w:type="dxa"/>
              <w:bottom w:w="80" w:type="dxa"/>
              <w:end w:w="80" w:type="dxa"/>
            </w:tcMar>
            <w:vAlign w:val="center"/>
          </w:tcPr>
          <w:p>
            <w:pPr>
              <w:spacing w:after="0" w:line="264" w:lineRule="auto"/>
              <w:jc w:val="left"/>
            </w:pPr>
            <w:r>
              <w:rPr>
                <w:rFonts w:ascii="Noto Sans CJK KR" w:hAnsi="Noto Sans CJK KR" w:eastAsia="Noto Sans CJK KR"/>
                <w:b w:val="0"/>
                <w:sz w:val="17"/>
              </w:rPr>
              <w:t>Logic</w:t>
            </w:r>
          </w:p>
        </w:tc>
        <w:tc>
          <w:tcPr>
            <w:tcW w:type="dxa" w:w="1304"/>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15</w:t>
            </w:r>
          </w:p>
        </w:tc>
        <w:tc>
          <w:tcPr>
            <w:tcW w:type="dxa" w:w="5669"/>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연역 타당성, 조건 논리, 가능세계, 정보 충분성</w:t>
            </w:r>
          </w:p>
        </w:tc>
      </w:tr>
      <w:tr>
        <w:trPr>
          <w:cantSplit/>
          <w:cantSplit/>
        </w:trPr>
        <w:tc>
          <w:tcPr>
            <w:tcW w:type="dxa" w:w="1928"/>
            <w:tcMar>
              <w:top w:w="80" w:type="dxa"/>
              <w:start w:w="80" w:type="dxa"/>
              <w:bottom w:w="80" w:type="dxa"/>
              <w:end w:w="80" w:type="dxa"/>
            </w:tcMar>
            <w:vAlign w:val="center"/>
          </w:tcPr>
          <w:p>
            <w:pPr>
              <w:spacing w:after="0" w:line="264" w:lineRule="auto"/>
              <w:jc w:val="left"/>
            </w:pPr>
            <w:r>
              <w:rPr>
                <w:rFonts w:ascii="Noto Sans CJK KR" w:hAnsi="Noto Sans CJK KR" w:eastAsia="Noto Sans CJK KR"/>
                <w:b w:val="0"/>
                <w:sz w:val="17"/>
              </w:rPr>
              <w:t>Science</w:t>
            </w:r>
          </w:p>
        </w:tc>
        <w:tc>
          <w:tcPr>
            <w:tcW w:type="dxa" w:w="1304"/>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15</w:t>
            </w:r>
          </w:p>
        </w:tc>
        <w:tc>
          <w:tcPr>
            <w:tcW w:type="dxa" w:w="5669"/>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과학적 추론, 실험 설계, 단위·수치 해석, 인과 추론</w:t>
            </w:r>
          </w:p>
        </w:tc>
      </w:tr>
      <w:tr>
        <w:trPr>
          <w:cantSplit/>
          <w:cantSplit/>
        </w:trPr>
        <w:tc>
          <w:tcPr>
            <w:tcW w:type="dxa" w:w="1928"/>
            <w:tcMar>
              <w:top w:w="80" w:type="dxa"/>
              <w:start w:w="80" w:type="dxa"/>
              <w:bottom w:w="80" w:type="dxa"/>
              <w:end w:w="80" w:type="dxa"/>
            </w:tcMar>
            <w:vAlign w:val="center"/>
          </w:tcPr>
          <w:p>
            <w:pPr>
              <w:spacing w:after="0" w:line="264" w:lineRule="auto"/>
              <w:jc w:val="left"/>
            </w:pPr>
            <w:r>
              <w:rPr>
                <w:rFonts w:ascii="Noto Sans CJK KR" w:hAnsi="Noto Sans CJK KR" w:eastAsia="Noto Sans CJK KR"/>
                <w:b w:val="0"/>
                <w:sz w:val="17"/>
              </w:rPr>
              <w:t>Error Detection</w:t>
            </w:r>
          </w:p>
        </w:tc>
        <w:tc>
          <w:tcPr>
            <w:tcW w:type="dxa" w:w="1304"/>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15</w:t>
            </w:r>
          </w:p>
        </w:tc>
        <w:tc>
          <w:tcPr>
            <w:tcW w:type="dxa" w:w="5669"/>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모순·계산오류·근거부족·과잉추론 탐지</w:t>
            </w:r>
          </w:p>
        </w:tc>
      </w:tr>
      <w:tr>
        <w:trPr>
          <w:cantSplit/>
          <w:cantSplit/>
        </w:trPr>
        <w:tc>
          <w:tcPr>
            <w:tcW w:type="dxa" w:w="1928"/>
            <w:tcMar>
              <w:top w:w="80" w:type="dxa"/>
              <w:start w:w="80" w:type="dxa"/>
              <w:bottom w:w="80" w:type="dxa"/>
              <w:end w:w="80" w:type="dxa"/>
            </w:tcMar>
            <w:vAlign w:val="center"/>
          </w:tcPr>
          <w:p>
            <w:pPr>
              <w:spacing w:after="0" w:line="264" w:lineRule="auto"/>
              <w:jc w:val="left"/>
            </w:pPr>
            <w:r>
              <w:rPr>
                <w:rFonts w:ascii="Noto Sans CJK KR" w:hAnsi="Noto Sans CJK KR" w:eastAsia="Noto Sans CJK KR"/>
                <w:b w:val="0"/>
                <w:sz w:val="17"/>
              </w:rPr>
              <w:t>합계</w:t>
            </w:r>
          </w:p>
        </w:tc>
        <w:tc>
          <w:tcPr>
            <w:tcW w:type="dxa" w:w="1304"/>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60</w:t>
            </w:r>
          </w:p>
        </w:tc>
        <w:tc>
          <w:tcPr>
            <w:tcW w:type="dxa" w:w="5669"/>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KR/EN 대응 문항</w:t>
            </w:r>
          </w:p>
        </w:tc>
      </w:tr>
    </w:tbl>
    <w:p>
      <w:pPr>
        <w:spacing w:after="0" w:before="0"/>
      </w:pPr>
    </w:p>
    <w:p>
      <w:pPr>
        <w:spacing w:line="348" w:lineRule="auto" w:after="100"/>
        <w:ind w:firstLine="397"/>
        <w:jc w:val="both"/>
      </w:pPr>
      <w:r>
        <w:rPr>
          <w:rFonts w:ascii="Noto Serif CJK KR" w:hAnsi="Noto Serif CJK KR" w:eastAsia="Noto Serif CJK KR"/>
          <w:i w:val="0"/>
          <w:sz w:val="21"/>
        </w:rPr>
        <w:t>각 문항에는 ID, Category, Difficulty, Question_KR, Question_EN, Correct Answer, Explanation, Evaluation Target, Expected Error Type이 포함되어 있으며, P2-Bench_Master_Dataset_v1.0을 단일 기준본으로 사용하였다.</w:t>
      </w:r>
    </w:p>
    <w:p>
      <w:pPr>
        <w:pStyle w:val="Heading2"/>
        <w:keepNext/>
      </w:pPr>
      <w:r>
        <w:rPr>
          <w:rFonts w:ascii="Noto Sans CJK KR" w:hAnsi="Noto Sans CJK KR" w:eastAsia="Noto Sans CJK KR"/>
          <w:sz w:val="24"/>
        </w:rPr>
        <w:t>3.3 Scoring Rubric</w:t>
      </w:r>
    </w:p>
    <w:p>
      <w:pPr>
        <w:keepNext/>
        <w:jc w:val="center"/>
      </w:pPr>
      <w:r>
        <w:rPr>
          <w:rFonts w:ascii="Noto Sans CJK KR" w:hAnsi="Noto Sans CJK KR" w:eastAsia="Noto Sans CJK KR"/>
          <w:b/>
          <w:sz w:val="19"/>
        </w:rPr>
        <w:t>표 2. P2-Bench 100점 평가 루브릭</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blHeader w:val="true"/>
          <w:cantSplit/>
        </w:trPr>
        <w:tc>
          <w:tcPr>
            <w:tcW w:type="dxa" w:w="2268"/>
            <w:shd w:fill="D9EAF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sz w:val="17"/>
              </w:rPr>
              <w:t>평가 항목</w:t>
            </w:r>
          </w:p>
        </w:tc>
        <w:tc>
          <w:tcPr>
            <w:tcW w:type="dxa" w:w="1134"/>
            <w:shd w:fill="D9EAF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sz w:val="17"/>
              </w:rPr>
              <w:t>배점</w:t>
            </w:r>
          </w:p>
        </w:tc>
        <w:tc>
          <w:tcPr>
            <w:tcW w:type="dxa" w:w="5669"/>
            <w:shd w:fill="D9EAF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sz w:val="17"/>
              </w:rPr>
              <w:t>평가 내용</w:t>
            </w:r>
          </w:p>
        </w:tc>
      </w:tr>
      <w:tr>
        <w:trPr>
          <w:cantSplit/>
          <w:cantSplit/>
        </w:trPr>
        <w:tc>
          <w:tcPr>
            <w:tcW w:type="dxa" w:w="2268"/>
            <w:tcMar>
              <w:top w:w="80" w:type="dxa"/>
              <w:start w:w="80" w:type="dxa"/>
              <w:bottom w:w="80" w:type="dxa"/>
              <w:end w:w="80" w:type="dxa"/>
            </w:tcMar>
            <w:vAlign w:val="center"/>
          </w:tcPr>
          <w:p>
            <w:pPr>
              <w:spacing w:after="0" w:line="264" w:lineRule="auto"/>
              <w:jc w:val="left"/>
            </w:pPr>
            <w:r>
              <w:rPr>
                <w:rFonts w:ascii="Noto Sans CJK KR" w:hAnsi="Noto Sans CJK KR" w:eastAsia="Noto Sans CJK KR"/>
                <w:b w:val="0"/>
                <w:sz w:val="17"/>
              </w:rPr>
              <w:t>최종 답 정확성</w:t>
            </w:r>
          </w:p>
        </w:tc>
        <w:tc>
          <w:tcPr>
            <w:tcW w:type="dxa" w:w="1134"/>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40</w:t>
            </w:r>
          </w:p>
        </w:tc>
        <w:tc>
          <w:tcPr>
            <w:tcW w:type="dxa" w:w="5669"/>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최종 결론 및 정답의 정확성</w:t>
            </w:r>
          </w:p>
        </w:tc>
      </w:tr>
      <w:tr>
        <w:trPr>
          <w:cantSplit/>
          <w:cantSplit/>
        </w:trPr>
        <w:tc>
          <w:tcPr>
            <w:tcW w:type="dxa" w:w="2268"/>
            <w:tcMar>
              <w:top w:w="80" w:type="dxa"/>
              <w:start w:w="80" w:type="dxa"/>
              <w:bottom w:w="80" w:type="dxa"/>
              <w:end w:w="80" w:type="dxa"/>
            </w:tcMar>
            <w:vAlign w:val="center"/>
          </w:tcPr>
          <w:p>
            <w:pPr>
              <w:spacing w:after="0" w:line="264" w:lineRule="auto"/>
              <w:jc w:val="left"/>
            </w:pPr>
            <w:r>
              <w:rPr>
                <w:rFonts w:ascii="Noto Sans CJK KR" w:hAnsi="Noto Sans CJK KR" w:eastAsia="Noto Sans CJK KR"/>
                <w:b w:val="0"/>
                <w:sz w:val="17"/>
              </w:rPr>
              <w:t>추론 과정</w:t>
            </w:r>
          </w:p>
        </w:tc>
        <w:tc>
          <w:tcPr>
            <w:tcW w:type="dxa" w:w="1134"/>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25</w:t>
            </w:r>
          </w:p>
        </w:tc>
        <w:tc>
          <w:tcPr>
            <w:tcW w:type="dxa" w:w="5669"/>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논리·계산·인과 과정의 타당성과 충분성</w:t>
            </w:r>
          </w:p>
        </w:tc>
      </w:tr>
      <w:tr>
        <w:trPr>
          <w:cantSplit/>
          <w:cantSplit/>
        </w:trPr>
        <w:tc>
          <w:tcPr>
            <w:tcW w:type="dxa" w:w="2268"/>
            <w:tcMar>
              <w:top w:w="80" w:type="dxa"/>
              <w:start w:w="80" w:type="dxa"/>
              <w:bottom w:w="80" w:type="dxa"/>
              <w:end w:w="80" w:type="dxa"/>
            </w:tcMar>
            <w:vAlign w:val="center"/>
          </w:tcPr>
          <w:p>
            <w:pPr>
              <w:spacing w:after="0" w:line="264" w:lineRule="auto"/>
              <w:jc w:val="left"/>
            </w:pPr>
            <w:r>
              <w:rPr>
                <w:rFonts w:ascii="Noto Sans CJK KR" w:hAnsi="Noto Sans CJK KR" w:eastAsia="Noto Sans CJK KR"/>
                <w:b w:val="0"/>
                <w:sz w:val="17"/>
              </w:rPr>
              <w:t>조건 검토</w:t>
            </w:r>
          </w:p>
        </w:tc>
        <w:tc>
          <w:tcPr>
            <w:tcW w:type="dxa" w:w="1134"/>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15</w:t>
            </w:r>
          </w:p>
        </w:tc>
        <w:tc>
          <w:tcPr>
            <w:tcW w:type="dxa" w:w="5669"/>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문제 조건, 정보 충분성, 제약의 적절한 확인</w:t>
            </w:r>
          </w:p>
        </w:tc>
      </w:tr>
      <w:tr>
        <w:trPr>
          <w:cantSplit/>
          <w:cantSplit/>
        </w:trPr>
        <w:tc>
          <w:tcPr>
            <w:tcW w:type="dxa" w:w="2268"/>
            <w:tcMar>
              <w:top w:w="80" w:type="dxa"/>
              <w:start w:w="80" w:type="dxa"/>
              <w:bottom w:w="80" w:type="dxa"/>
              <w:end w:w="80" w:type="dxa"/>
            </w:tcMar>
            <w:vAlign w:val="center"/>
          </w:tcPr>
          <w:p>
            <w:pPr>
              <w:spacing w:after="0" w:line="264" w:lineRule="auto"/>
              <w:jc w:val="left"/>
            </w:pPr>
            <w:r>
              <w:rPr>
                <w:rFonts w:ascii="Noto Sans CJK KR" w:hAnsi="Noto Sans CJK KR" w:eastAsia="Noto Sans CJK KR"/>
                <w:b w:val="0"/>
                <w:sz w:val="17"/>
              </w:rPr>
              <w:t>오류 인정·검증</w:t>
            </w:r>
          </w:p>
        </w:tc>
        <w:tc>
          <w:tcPr>
            <w:tcW w:type="dxa" w:w="1134"/>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10</w:t>
            </w:r>
          </w:p>
        </w:tc>
        <w:tc>
          <w:tcPr>
            <w:tcW w:type="dxa" w:w="5669"/>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검산, 불확실성 인정, 자기수정의 적절성</w:t>
            </w:r>
          </w:p>
        </w:tc>
      </w:tr>
      <w:tr>
        <w:trPr>
          <w:cantSplit/>
          <w:cantSplit/>
        </w:trPr>
        <w:tc>
          <w:tcPr>
            <w:tcW w:type="dxa" w:w="2268"/>
            <w:tcMar>
              <w:top w:w="80" w:type="dxa"/>
              <w:start w:w="80" w:type="dxa"/>
              <w:bottom w:w="80" w:type="dxa"/>
              <w:end w:w="80" w:type="dxa"/>
            </w:tcMar>
            <w:vAlign w:val="center"/>
          </w:tcPr>
          <w:p>
            <w:pPr>
              <w:spacing w:after="0" w:line="264" w:lineRule="auto"/>
              <w:jc w:val="left"/>
            </w:pPr>
            <w:r>
              <w:rPr>
                <w:rFonts w:ascii="Noto Sans CJK KR" w:hAnsi="Noto Sans CJK KR" w:eastAsia="Noto Sans CJK KR"/>
                <w:b w:val="0"/>
                <w:sz w:val="17"/>
              </w:rPr>
              <w:t>설명 명확성</w:t>
            </w:r>
          </w:p>
        </w:tc>
        <w:tc>
          <w:tcPr>
            <w:tcW w:type="dxa" w:w="1134"/>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10</w:t>
            </w:r>
          </w:p>
        </w:tc>
        <w:tc>
          <w:tcPr>
            <w:tcW w:type="dxa" w:w="5669"/>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설명의 구조, 명료성, 불필요한 모순 여부</w:t>
            </w:r>
          </w:p>
        </w:tc>
      </w:tr>
      <w:tr>
        <w:trPr>
          <w:cantSplit/>
          <w:cantSplit/>
        </w:trPr>
        <w:tc>
          <w:tcPr>
            <w:tcW w:type="dxa" w:w="2268"/>
            <w:tcMar>
              <w:top w:w="80" w:type="dxa"/>
              <w:start w:w="80" w:type="dxa"/>
              <w:bottom w:w="80" w:type="dxa"/>
              <w:end w:w="80" w:type="dxa"/>
            </w:tcMar>
            <w:vAlign w:val="center"/>
          </w:tcPr>
          <w:p>
            <w:pPr>
              <w:spacing w:after="0" w:line="264" w:lineRule="auto"/>
              <w:jc w:val="left"/>
            </w:pPr>
            <w:r>
              <w:rPr>
                <w:rFonts w:ascii="Noto Sans CJK KR" w:hAnsi="Noto Sans CJK KR" w:eastAsia="Noto Sans CJK KR"/>
                <w:b w:val="0"/>
                <w:sz w:val="17"/>
              </w:rPr>
              <w:t>합계</w:t>
            </w:r>
          </w:p>
        </w:tc>
        <w:tc>
          <w:tcPr>
            <w:tcW w:type="dxa" w:w="1134"/>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100</w:t>
            </w:r>
          </w:p>
        </w:tc>
        <w:tc>
          <w:tcPr>
            <w:tcW w:type="dxa" w:w="5669"/>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응답당 총점</w:t>
            </w:r>
          </w:p>
        </w:tc>
      </w:tr>
    </w:tbl>
    <w:p>
      <w:pPr>
        <w:spacing w:after="0" w:before="0"/>
      </w:pPr>
    </w:p>
    <w:p>
      <w:pPr>
        <w:spacing w:line="348" w:lineRule="auto" w:after="100"/>
        <w:ind w:firstLine="397"/>
        <w:jc w:val="both"/>
      </w:pPr>
      <w:r>
        <w:rPr>
          <w:rFonts w:ascii="Noto Serif CJK KR" w:hAnsi="Noto Serif CJK KR" w:eastAsia="Noto Serif CJK KR"/>
          <w:i w:val="0"/>
          <w:sz w:val="21"/>
        </w:rPr>
        <w:t>오류 유형은 NONE, HALL, PREM, LOG, CALC, COND, OVER, UNC, SELF를 기본 코드로 사용하였다. R1 채점 후 고정 seed 20261002로 모델×언어×영역별 층화표본을 추출하고, 기존 감점 사례 및 정보불충분 문항을 추가한 intra-rater R2 audit을 실시하였다. 중복 제거 후 38개 Run을 재검토했으며 1개 Run의 점수를 추가 조정하였다. 이는 독립된 두 번째 평가자에 의한 inter-rater reliability 검증은 아니다.</w:t>
      </w:r>
    </w:p>
    <w:p>
      <w:pPr>
        <w:pStyle w:val="Heading2"/>
        <w:keepNext/>
      </w:pPr>
      <w:r>
        <w:rPr>
          <w:rFonts w:ascii="Noto Sans CJK KR" w:hAnsi="Noto Sans CJK KR" w:eastAsia="Noto Sans CJK KR"/>
          <w:sz w:val="24"/>
        </w:rPr>
        <w:t>3.4 Statistical Analysis</w:t>
      </w:r>
    </w:p>
    <w:p>
      <w:pPr>
        <w:spacing w:line="348" w:lineRule="auto" w:after="100"/>
        <w:ind w:firstLine="397"/>
        <w:jc w:val="both"/>
      </w:pPr>
      <w:r>
        <w:rPr>
          <w:rFonts w:ascii="Noto Serif CJK KR" w:hAnsi="Noto Serif CJK KR" w:eastAsia="Noto Serif CJK KR"/>
          <w:i w:val="0"/>
          <w:sz w:val="21"/>
        </w:rPr>
        <w:t>분석은 기술통계, 동일 문항 paired difference, exact sign test, Cohen’s d_z, 오류 유형 분석으로 구성하였다. 점수가 상한에 집중될 가능성을 고려하여 평균과 p-value만으로 결론을 내리지 않고, 비영 차이의 개수와 방향, 오류 사례의 질적 특성, 영역별 분포를 함께 해석하였다.</w:t>
      </w:r>
    </w:p>
    <w:p>
      <w:pPr>
        <w:pStyle w:val="Heading1"/>
        <w:keepNext/>
      </w:pPr>
      <w:r>
        <w:rPr>
          <w:rFonts w:ascii="Noto Sans CJK KR" w:hAnsi="Noto Sans CJK KR" w:eastAsia="Noto Sans CJK KR"/>
          <w:sz w:val="28"/>
        </w:rPr>
        <w:t>4. Dataset</w:t>
      </w:r>
    </w:p>
    <w:p>
      <w:pPr>
        <w:spacing w:line="348" w:lineRule="auto" w:after="100"/>
        <w:ind w:firstLine="397"/>
        <w:jc w:val="both"/>
      </w:pPr>
      <w:r>
        <w:rPr>
          <w:rFonts w:ascii="Noto Serif CJK KR" w:hAnsi="Noto Serif CJK KR" w:eastAsia="Noto Serif CJK KR"/>
          <w:i w:val="0"/>
          <w:sz w:val="21"/>
        </w:rPr>
        <w:t>P2-Bench의 최종 기준 데이터셋은 60문항으로 구성된다. 본 연구에서 1차 예비실험 54개 응답은 탐색적 설계 근거로만 유지했고 본실험 통계에는 포함하지 않았다. P2V2-R01~R07로 구성된 2차 예비실험은 중간 중단된 실험으로 모든 분석에서 완전히 제외하였다. 본실험의 모든 결과는 Claude-only 240개 응답에 기반한다.</w:t>
      </w:r>
    </w:p>
    <w:p>
      <w:pPr>
        <w:pStyle w:val="Heading1"/>
        <w:keepNext/>
      </w:pPr>
      <w:r>
        <w:rPr>
          <w:rFonts w:ascii="Noto Sans CJK KR" w:hAnsi="Noto Sans CJK KR" w:eastAsia="Noto Sans CJK KR"/>
          <w:sz w:val="28"/>
        </w:rPr>
        <w:t>5. Experiment</w:t>
      </w:r>
    </w:p>
    <w:p>
      <w:pPr>
        <w:spacing w:line="348" w:lineRule="auto" w:after="100"/>
        <w:ind w:firstLine="397"/>
        <w:jc w:val="both"/>
      </w:pPr>
      <w:r>
        <w:rPr>
          <w:rFonts w:ascii="Noto Serif CJK KR" w:hAnsi="Noto Serif CJK KR" w:eastAsia="Noto Serif CJK KR"/>
          <w:sz w:val="21"/>
        </w:rPr>
        <w:t>각 응답은 사전에 정의된 Full_Input_Text를 사용하여 수집되었고 원 응답은 수정하지 않고 Raw_Response로 보존하였다. 본실험은 한국어 및 영어 입력의 동일 문항 쌍을 기준으로 구성되었다. 다만 원 관리 파일의 Exact_Model_Version과 Execution_Date 필드는 미기록 상태이며, 본 연구는 이를 사후 추정하지 않았다. 따라서 본문에서 사용하는 “Claude Opus 5.5”와 “Claude Sonnet 5.5”는 실험 관리 당시 기록된 모델 그룹 명칭이며, API snapshot 수준의 재현성까지 보장하는 식별자는 아니다. 이 제한은 결과 해석과 재현성 논의에 명시적으로 반영하였다.</w:t>
      </w:r>
    </w:p>
    <w:p>
      <w:pPr>
        <w:pStyle w:val="Heading1"/>
        <w:keepNext/>
      </w:pPr>
      <w:r>
        <w:rPr>
          <w:rFonts w:ascii="Noto Sans CJK KR" w:hAnsi="Noto Sans CJK KR" w:eastAsia="Noto Sans CJK KR"/>
          <w:sz w:val="28"/>
        </w:rPr>
        <w:t>6. Results</w:t>
      </w:r>
    </w:p>
    <w:p>
      <w:pPr>
        <w:pStyle w:val="Heading2"/>
        <w:keepNext/>
      </w:pPr>
      <w:r>
        <w:rPr>
          <w:rFonts w:ascii="Noto Sans CJK KR" w:hAnsi="Noto Sans CJK KR" w:eastAsia="Noto Sans CJK KR"/>
          <w:sz w:val="24"/>
        </w:rPr>
        <w:t>6.1 Overall Performance and Ceiling Effect</w:t>
      </w:r>
    </w:p>
    <w:p>
      <w:pPr>
        <w:spacing w:line="348" w:lineRule="auto" w:after="100"/>
        <w:ind w:firstLine="397"/>
        <w:jc w:val="both"/>
      </w:pPr>
      <w:r>
        <w:rPr>
          <w:rFonts w:ascii="Noto Serif CJK KR" w:hAnsi="Noto Serif CJK KR" w:eastAsia="Noto Serif CJK KR"/>
          <w:i w:val="0"/>
          <w:sz w:val="21"/>
        </w:rPr>
        <w:t>R2 QC 이후 전체 240개 응답 중 236개가 100점을 기록하여 전체 만점 비율은 98.3%였다. 최저 점수는 96점이었다. Opus는 120개 응답 전체가 100점이었고, Sonnet은 120개 중 116개(96.7%)가 100점이었다. 언어별로는 KR 120개 전체가 100점이었고, EN은 120개 중 116개가 100점이었다. 이는 본 벤치마크와 평가 루브릭에서 매우 강한 ceiling effect가 발생했음을 의미한다.</w:t>
      </w:r>
    </w:p>
    <w:p>
      <w:pPr>
        <w:keepNext/>
        <w:jc w:val="center"/>
      </w:pPr>
      <w:r>
        <w:rPr>
          <w:rFonts w:ascii="Noto Sans CJK KR" w:hAnsi="Noto Sans CJK KR" w:eastAsia="Noto Sans CJK KR"/>
          <w:b/>
          <w:sz w:val="19"/>
        </w:rPr>
        <w:t>표 3. 모델-언어 조건별 기술통계</w:t>
      </w:r>
    </w:p>
    <w:tbl>
      <w:tblPr>
        <w:tblStyle w:val="TableGrid"/>
        <w:tblW w:type="auto" w:w="0"/>
        <w:jc w:val="center"/>
        <w:tblLook w:firstColumn="1" w:firstRow="1" w:lastColumn="0" w:lastRow="0" w:noHBand="0" w:noVBand="1" w:val="04A0"/>
      </w:tblPr>
      <w:tblGrid>
        <w:gridCol w:w="1586"/>
        <w:gridCol w:w="1586"/>
        <w:gridCol w:w="1586"/>
        <w:gridCol w:w="1586"/>
        <w:gridCol w:w="1586"/>
        <w:gridCol w:w="1586"/>
      </w:tblGrid>
      <w:tr>
        <w:trPr>
          <w:tblHeader w:val="true"/>
          <w:cantSplit/>
          <w:tblHeader w:val="true"/>
          <w:cantSplit/>
        </w:trPr>
        <w:tc>
          <w:tcPr>
            <w:tcW w:type="dxa" w:w="1984"/>
            <w:shd w:fill="D9EAF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sz w:val="17"/>
              </w:rPr>
              <w:t>조건</w:t>
            </w:r>
          </w:p>
        </w:tc>
        <w:tc>
          <w:tcPr>
            <w:tcW w:type="dxa" w:w="850"/>
            <w:shd w:fill="D9EAF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sz w:val="17"/>
              </w:rPr>
              <w:t>N</w:t>
            </w:r>
          </w:p>
        </w:tc>
        <w:tc>
          <w:tcPr>
            <w:tcW w:type="dxa" w:w="1134"/>
            <w:shd w:fill="D9EAF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sz w:val="17"/>
              </w:rPr>
              <w:t>평균</w:t>
            </w:r>
          </w:p>
        </w:tc>
        <w:tc>
          <w:tcPr>
            <w:tcW w:type="dxa" w:w="1247"/>
            <w:shd w:fill="D9EAF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sz w:val="17"/>
              </w:rPr>
              <w:t>중앙값</w:t>
            </w:r>
          </w:p>
        </w:tc>
        <w:tc>
          <w:tcPr>
            <w:tcW w:type="dxa" w:w="1247"/>
            <w:shd w:fill="D9EAF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sz w:val="17"/>
              </w:rPr>
              <w:t>표준편차</w:t>
            </w:r>
          </w:p>
        </w:tc>
        <w:tc>
          <w:tcPr>
            <w:tcW w:type="dxa" w:w="1417"/>
            <w:shd w:fill="D9EAF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sz w:val="17"/>
              </w:rPr>
              <w:t>만점 비율</w:t>
            </w:r>
          </w:p>
        </w:tc>
      </w:tr>
      <w:tr>
        <w:trPr>
          <w:cantSplit/>
          <w:cantSplit/>
        </w:trPr>
        <w:tc>
          <w:tcPr>
            <w:tcW w:type="dxa" w:w="1984"/>
            <w:tcMar>
              <w:top w:w="80" w:type="dxa"/>
              <w:start w:w="80" w:type="dxa"/>
              <w:bottom w:w="80" w:type="dxa"/>
              <w:end w:w="80" w:type="dxa"/>
            </w:tcMar>
            <w:vAlign w:val="center"/>
          </w:tcPr>
          <w:p>
            <w:pPr>
              <w:spacing w:after="0" w:line="264" w:lineRule="auto"/>
              <w:jc w:val="left"/>
            </w:pPr>
            <w:r>
              <w:rPr>
                <w:rFonts w:ascii="Noto Sans CJK KR" w:hAnsi="Noto Sans CJK KR" w:eastAsia="Noto Sans CJK KR"/>
                <w:b w:val="0"/>
                <w:sz w:val="17"/>
              </w:rPr>
              <w:t>Opus-KR</w:t>
            </w:r>
          </w:p>
        </w:tc>
        <w:tc>
          <w:tcPr>
            <w:tcW w:type="dxa" w:w="850"/>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60</w:t>
            </w:r>
          </w:p>
        </w:tc>
        <w:tc>
          <w:tcPr>
            <w:tcW w:type="dxa" w:w="1134"/>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100.000</w:t>
            </w:r>
          </w:p>
        </w:tc>
        <w:tc>
          <w:tcPr>
            <w:tcW w:type="dxa" w:w="124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100</w:t>
            </w:r>
          </w:p>
        </w:tc>
        <w:tc>
          <w:tcPr>
            <w:tcW w:type="dxa" w:w="124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0.000</w:t>
            </w:r>
          </w:p>
        </w:tc>
        <w:tc>
          <w:tcPr>
            <w:tcW w:type="dxa" w:w="141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100.0%</w:t>
            </w:r>
          </w:p>
        </w:tc>
      </w:tr>
      <w:tr>
        <w:trPr>
          <w:cantSplit/>
          <w:cantSplit/>
        </w:trPr>
        <w:tc>
          <w:tcPr>
            <w:tcW w:type="dxa" w:w="1984"/>
            <w:tcMar>
              <w:top w:w="80" w:type="dxa"/>
              <w:start w:w="80" w:type="dxa"/>
              <w:bottom w:w="80" w:type="dxa"/>
              <w:end w:w="80" w:type="dxa"/>
            </w:tcMar>
            <w:vAlign w:val="center"/>
          </w:tcPr>
          <w:p>
            <w:pPr>
              <w:spacing w:after="0" w:line="264" w:lineRule="auto"/>
              <w:jc w:val="left"/>
            </w:pPr>
            <w:r>
              <w:rPr>
                <w:rFonts w:ascii="Noto Sans CJK KR" w:hAnsi="Noto Sans CJK KR" w:eastAsia="Noto Sans CJK KR"/>
                <w:b w:val="0"/>
                <w:sz w:val="17"/>
              </w:rPr>
              <w:t>Opus-EN</w:t>
            </w:r>
          </w:p>
        </w:tc>
        <w:tc>
          <w:tcPr>
            <w:tcW w:type="dxa" w:w="850"/>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60</w:t>
            </w:r>
          </w:p>
        </w:tc>
        <w:tc>
          <w:tcPr>
            <w:tcW w:type="dxa" w:w="1134"/>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100.000</w:t>
            </w:r>
          </w:p>
        </w:tc>
        <w:tc>
          <w:tcPr>
            <w:tcW w:type="dxa" w:w="124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100</w:t>
            </w:r>
          </w:p>
        </w:tc>
        <w:tc>
          <w:tcPr>
            <w:tcW w:type="dxa" w:w="124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0.000</w:t>
            </w:r>
          </w:p>
        </w:tc>
        <w:tc>
          <w:tcPr>
            <w:tcW w:type="dxa" w:w="141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100.0%</w:t>
            </w:r>
          </w:p>
        </w:tc>
      </w:tr>
      <w:tr>
        <w:trPr>
          <w:cantSplit/>
          <w:cantSplit/>
        </w:trPr>
        <w:tc>
          <w:tcPr>
            <w:tcW w:type="dxa" w:w="1984"/>
            <w:tcMar>
              <w:top w:w="80" w:type="dxa"/>
              <w:start w:w="80" w:type="dxa"/>
              <w:bottom w:w="80" w:type="dxa"/>
              <w:end w:w="80" w:type="dxa"/>
            </w:tcMar>
            <w:vAlign w:val="center"/>
          </w:tcPr>
          <w:p>
            <w:pPr>
              <w:spacing w:after="0" w:line="264" w:lineRule="auto"/>
              <w:jc w:val="left"/>
            </w:pPr>
            <w:r>
              <w:rPr>
                <w:rFonts w:ascii="Noto Sans CJK KR" w:hAnsi="Noto Sans CJK KR" w:eastAsia="Noto Sans CJK KR"/>
                <w:b w:val="0"/>
                <w:sz w:val="17"/>
              </w:rPr>
              <w:t>Sonnet-KR</w:t>
            </w:r>
          </w:p>
        </w:tc>
        <w:tc>
          <w:tcPr>
            <w:tcW w:type="dxa" w:w="850"/>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60</w:t>
            </w:r>
          </w:p>
        </w:tc>
        <w:tc>
          <w:tcPr>
            <w:tcW w:type="dxa" w:w="1134"/>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100.000</w:t>
            </w:r>
          </w:p>
        </w:tc>
        <w:tc>
          <w:tcPr>
            <w:tcW w:type="dxa" w:w="124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100</w:t>
            </w:r>
          </w:p>
        </w:tc>
        <w:tc>
          <w:tcPr>
            <w:tcW w:type="dxa" w:w="124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0.000</w:t>
            </w:r>
          </w:p>
        </w:tc>
        <w:tc>
          <w:tcPr>
            <w:tcW w:type="dxa" w:w="141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100.0%</w:t>
            </w:r>
          </w:p>
        </w:tc>
      </w:tr>
      <w:tr>
        <w:trPr>
          <w:cantSplit/>
          <w:cantSplit/>
        </w:trPr>
        <w:tc>
          <w:tcPr>
            <w:tcW w:type="dxa" w:w="1984"/>
            <w:tcMar>
              <w:top w:w="80" w:type="dxa"/>
              <w:start w:w="80" w:type="dxa"/>
              <w:bottom w:w="80" w:type="dxa"/>
              <w:end w:w="80" w:type="dxa"/>
            </w:tcMar>
            <w:vAlign w:val="center"/>
          </w:tcPr>
          <w:p>
            <w:pPr>
              <w:spacing w:after="0" w:line="264" w:lineRule="auto"/>
              <w:jc w:val="left"/>
            </w:pPr>
            <w:r>
              <w:rPr>
                <w:rFonts w:ascii="Noto Sans CJK KR" w:hAnsi="Noto Sans CJK KR" w:eastAsia="Noto Sans CJK KR"/>
                <w:b w:val="0"/>
                <w:sz w:val="17"/>
              </w:rPr>
              <w:t>Sonnet-EN</w:t>
            </w:r>
          </w:p>
        </w:tc>
        <w:tc>
          <w:tcPr>
            <w:tcW w:type="dxa" w:w="850"/>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60</w:t>
            </w:r>
          </w:p>
        </w:tc>
        <w:tc>
          <w:tcPr>
            <w:tcW w:type="dxa" w:w="1134"/>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99.817</w:t>
            </w:r>
          </w:p>
        </w:tc>
        <w:tc>
          <w:tcPr>
            <w:tcW w:type="dxa" w:w="124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100</w:t>
            </w:r>
          </w:p>
        </w:tc>
        <w:tc>
          <w:tcPr>
            <w:tcW w:type="dxa" w:w="124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0.748</w:t>
            </w:r>
          </w:p>
        </w:tc>
        <w:tc>
          <w:tcPr>
            <w:tcW w:type="dxa" w:w="141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93.3%</w:t>
            </w:r>
          </w:p>
        </w:tc>
      </w:tr>
      <w:tr>
        <w:trPr>
          <w:cantSplit/>
          <w:cantSplit/>
        </w:trPr>
        <w:tc>
          <w:tcPr>
            <w:tcW w:type="dxa" w:w="1984"/>
            <w:tcMar>
              <w:top w:w="80" w:type="dxa"/>
              <w:start w:w="80" w:type="dxa"/>
              <w:bottom w:w="80" w:type="dxa"/>
              <w:end w:w="80" w:type="dxa"/>
            </w:tcMar>
            <w:vAlign w:val="center"/>
          </w:tcPr>
          <w:p>
            <w:pPr>
              <w:spacing w:after="0" w:line="264" w:lineRule="auto"/>
              <w:jc w:val="left"/>
            </w:pPr>
            <w:r>
              <w:rPr>
                <w:rFonts w:ascii="Noto Sans CJK KR" w:hAnsi="Noto Sans CJK KR" w:eastAsia="Noto Sans CJK KR"/>
                <w:b w:val="0"/>
                <w:sz w:val="17"/>
              </w:rPr>
              <w:t>전체</w:t>
            </w:r>
          </w:p>
        </w:tc>
        <w:tc>
          <w:tcPr>
            <w:tcW w:type="dxa" w:w="850"/>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240</w:t>
            </w:r>
          </w:p>
        </w:tc>
        <w:tc>
          <w:tcPr>
            <w:tcW w:type="dxa" w:w="1134"/>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99.954</w:t>
            </w:r>
          </w:p>
        </w:tc>
        <w:tc>
          <w:tcPr>
            <w:tcW w:type="dxa" w:w="124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100</w:t>
            </w:r>
          </w:p>
        </w:tc>
        <w:tc>
          <w:tcPr>
            <w:tcW w:type="dxa" w:w="124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0.389</w:t>
            </w:r>
          </w:p>
        </w:tc>
        <w:tc>
          <w:tcPr>
            <w:tcW w:type="dxa" w:w="141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98.3%</w:t>
            </w:r>
          </w:p>
        </w:tc>
      </w:tr>
    </w:tbl>
    <w:p>
      <w:pPr>
        <w:jc w:val="center"/>
      </w:pPr>
      <w:r>
        <w:drawing>
          <wp:inline xmlns:a="http://schemas.openxmlformats.org/drawingml/2006/main" xmlns:pic="http://schemas.openxmlformats.org/drawingml/2006/picture">
            <wp:extent cx="5292000" cy="3208402"/>
            <wp:docPr id="1" name="Picture 1" descr="Image: image1.png"/>
            <wp:cNvGraphicFramePr>
              <a:graphicFrameLocks noChangeAspect="1"/>
            </wp:cNvGraphicFramePr>
            <a:graphic>
              <a:graphicData uri="http://schemas.openxmlformats.org/drawingml/2006/picture">
                <pic:pic>
                  <pic:nvPicPr>
                    <pic:cNvPr id="0" name="P2-Bench_Figure1_Score_Distribution.png"/>
                    <pic:cNvPicPr/>
                  </pic:nvPicPr>
                  <pic:blipFill>
                    <a:blip r:embed="rId10"/>
                    <a:stretch>
                      <a:fillRect/>
                    </a:stretch>
                  </pic:blipFill>
                  <pic:spPr>
                    <a:xfrm>
                      <a:off x="0" y="0"/>
                      <a:ext cx="5292000" cy="3208402"/>
                    </a:xfrm>
                    <a:prstGeom prst="rect"/>
                  </pic:spPr>
                </pic:pic>
              </a:graphicData>
            </a:graphic>
          </wp:inline>
        </w:drawing>
      </w:r>
    </w:p>
    <w:p>
      <w:pPr>
        <w:keepNext w:val="0"/>
        <w:jc w:val="center"/>
      </w:pPr>
      <w:r>
        <w:rPr>
          <w:rFonts w:ascii="Noto Sans CJK KR" w:hAnsi="Noto Sans CJK KR" w:eastAsia="Noto Sans CJK KR"/>
          <w:b/>
          <w:sz w:val="18"/>
        </w:rPr>
        <w:t>그림 1. P2-Bench 총점 분포와 ceiling effect</w:t>
      </w:r>
    </w:p>
    <w:p>
      <w:pPr>
        <w:jc w:val="center"/>
      </w:pPr>
      <w:r>
        <w:rPr>
          <w:rFonts w:ascii="Noto Serif CJK KR" w:hAnsi="Noto Serif CJK KR" w:eastAsia="Noto Serif CJK KR"/>
          <w:sz w:val="17"/>
        </w:rPr>
        <w:t>주. R2 QC 기준. 240개 응답 중 236개(98.3%)가 100점을 기록하였다.</w:t>
      </w:r>
    </w:p>
    <w:p>
      <w:pPr>
        <w:spacing w:after="0" w:before="0"/>
      </w:pPr>
    </w:p>
    <w:p>
      <w:pPr>
        <w:pStyle w:val="Heading2"/>
        <w:keepNext/>
      </w:pPr>
      <w:r>
        <w:rPr>
          <w:rFonts w:ascii="Noto Sans CJK KR" w:hAnsi="Noto Sans CJK KR" w:eastAsia="Noto Sans CJK KR"/>
          <w:sz w:val="24"/>
        </w:rPr>
        <w:t>6.2 Paired Language Comparison</w:t>
      </w:r>
    </w:p>
    <w:p>
      <w:pPr>
        <w:spacing w:line="348" w:lineRule="auto" w:after="100"/>
        <w:ind w:firstLine="397"/>
        <w:jc w:val="both"/>
      </w:pPr>
      <w:r>
        <w:rPr>
          <w:rFonts w:ascii="Noto Serif CJK KR" w:hAnsi="Noto Serif CJK KR" w:eastAsia="Noto Serif CJK KR"/>
          <w:i w:val="0"/>
          <w:sz w:val="21"/>
        </w:rPr>
        <w:t>Opus에서는 60개 문항 모두 KR과 EN 점수가 동일하여 paired difference가 전부 0이었다. Sonnet에서는 KR 평균이 100.000, EN 평균이 99.817로 평균 차이(KR−EN)는 0.183점이었다. 60개 문항 중 비영 차이는 4개였으며 모두 KR 점수가 EN보다 높았다. exact sign test는 p=0.125였고 Cohen’s d_z는 약 0.245였다. 따라서 관찰된 방향성은 존재하지만 통계적 유의성을 주장할 근거는 충분하지 않다.</w:t>
      </w:r>
    </w:p>
    <w:p>
      <w:pPr>
        <w:pStyle w:val="Heading2"/>
        <w:keepNext/>
      </w:pPr>
      <w:r>
        <w:rPr>
          <w:rFonts w:ascii="Noto Sans CJK KR" w:hAnsi="Noto Sans CJK KR" w:eastAsia="Noto Sans CJK KR"/>
          <w:sz w:val="24"/>
        </w:rPr>
        <w:t>6.3 Paired Model Comparison</w:t>
      </w:r>
    </w:p>
    <w:p>
      <w:pPr>
        <w:spacing w:line="348" w:lineRule="auto" w:after="100"/>
        <w:ind w:firstLine="397"/>
        <w:jc w:val="both"/>
      </w:pPr>
      <w:r>
        <w:rPr>
          <w:rFonts w:ascii="Noto Serif CJK KR" w:hAnsi="Noto Serif CJK KR" w:eastAsia="Noto Serif CJK KR"/>
          <w:i w:val="0"/>
          <w:sz w:val="21"/>
        </w:rPr>
        <w:t>한국어 조건에서는 Opus와 Sonnet의 60개 문항 점수가 모두 동일했다. 영어 조건에서는 Opus 평균 100.000, Sonnet 평균 99.817로 평균 차이(Opus−Sonnet)는 0.183점이었다. 비영 차이는 4개였고 모두 Opus 우세 방향이었다. exact sign test p=0.125, Cohen’s d_z≈0.245로 Sonnet의 언어 비교와 동일한 수치를 보였다. 이는 감점된 네 사례가 모두 Sonnet-EN 조건에 집중되었기 때문이다.</w:t>
      </w:r>
    </w:p>
    <w:p>
      <w:pPr>
        <w:keepNext/>
        <w:jc w:val="center"/>
      </w:pPr>
      <w:r>
        <w:rPr>
          <w:rFonts w:ascii="Noto Sans CJK KR" w:hAnsi="Noto Sans CJK KR" w:eastAsia="Noto Sans CJK KR"/>
          <w:b/>
          <w:sz w:val="19"/>
        </w:rPr>
        <w:t>표 4. 동일 문항 기반 paired 비교 결과</w:t>
      </w:r>
    </w:p>
    <w:tbl>
      <w:tblPr>
        <w:tblStyle w:val="TableGrid"/>
        <w:tblW w:type="auto" w:w="0"/>
        <w:jc w:val="center"/>
        <w:tblLook w:firstColumn="1" w:firstRow="1" w:lastColumn="0" w:lastRow="0" w:noHBand="0" w:noVBand="1" w:val="04A0"/>
      </w:tblPr>
      <w:tblGrid>
        <w:gridCol w:w="1360"/>
        <w:gridCol w:w="1360"/>
        <w:gridCol w:w="1360"/>
        <w:gridCol w:w="1360"/>
        <w:gridCol w:w="1360"/>
        <w:gridCol w:w="1360"/>
        <w:gridCol w:w="1360"/>
      </w:tblGrid>
      <w:tr>
        <w:trPr>
          <w:tblHeader w:val="true"/>
          <w:cantSplit/>
          <w:tblHeader w:val="true"/>
          <w:cantSplit/>
        </w:trPr>
        <w:tc>
          <w:tcPr>
            <w:tcW w:type="dxa" w:w="2438"/>
            <w:shd w:fill="D9EAF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sz w:val="17"/>
              </w:rPr>
              <w:t>비교</w:t>
            </w:r>
          </w:p>
        </w:tc>
        <w:tc>
          <w:tcPr>
            <w:tcW w:type="dxa" w:w="907"/>
            <w:shd w:fill="D9EAF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sz w:val="17"/>
              </w:rPr>
              <w:t>Pair N</w:t>
            </w:r>
          </w:p>
        </w:tc>
        <w:tc>
          <w:tcPr>
            <w:tcW w:type="dxa" w:w="1134"/>
            <w:shd w:fill="D9EAF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sz w:val="17"/>
              </w:rPr>
              <w:t>평균차</w:t>
            </w:r>
          </w:p>
        </w:tc>
        <w:tc>
          <w:tcPr>
            <w:tcW w:type="dxa" w:w="1020"/>
            <w:shd w:fill="D9EAF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sz w:val="17"/>
              </w:rPr>
              <w:t>비영 차이</w:t>
            </w:r>
          </w:p>
        </w:tc>
        <w:tc>
          <w:tcPr>
            <w:tcW w:type="dxa" w:w="1701"/>
            <w:shd w:fill="D9EAF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sz w:val="17"/>
              </w:rPr>
              <w:t>방향</w:t>
            </w:r>
          </w:p>
        </w:tc>
        <w:tc>
          <w:tcPr>
            <w:tcW w:type="dxa" w:w="1304"/>
            <w:shd w:fill="D9EAF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sz w:val="17"/>
              </w:rPr>
              <w:t>Exact sign p</w:t>
            </w:r>
          </w:p>
        </w:tc>
        <w:tc>
          <w:tcPr>
            <w:tcW w:type="dxa" w:w="1304"/>
            <w:shd w:fill="D9EAF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sz w:val="17"/>
              </w:rPr>
              <w:t>Cohen d_z</w:t>
            </w:r>
          </w:p>
        </w:tc>
      </w:tr>
      <w:tr>
        <w:trPr>
          <w:cantSplit/>
          <w:cantSplit/>
        </w:trPr>
        <w:tc>
          <w:tcPr>
            <w:tcW w:type="dxa" w:w="2438"/>
            <w:tcMar>
              <w:top w:w="80" w:type="dxa"/>
              <w:start w:w="80" w:type="dxa"/>
              <w:bottom w:w="80" w:type="dxa"/>
              <w:end w:w="80" w:type="dxa"/>
            </w:tcMar>
            <w:vAlign w:val="center"/>
          </w:tcPr>
          <w:p>
            <w:pPr>
              <w:spacing w:after="0" w:line="264" w:lineRule="auto"/>
              <w:jc w:val="left"/>
            </w:pPr>
            <w:r>
              <w:rPr>
                <w:rFonts w:ascii="Noto Sans CJK KR" w:hAnsi="Noto Sans CJK KR" w:eastAsia="Noto Sans CJK KR"/>
                <w:b w:val="0"/>
                <w:sz w:val="17"/>
              </w:rPr>
              <w:t>Opus KR vs EN</w:t>
            </w:r>
          </w:p>
        </w:tc>
        <w:tc>
          <w:tcPr>
            <w:tcW w:type="dxa" w:w="90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60</w:t>
            </w:r>
          </w:p>
        </w:tc>
        <w:tc>
          <w:tcPr>
            <w:tcW w:type="dxa" w:w="1134"/>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0.000</w:t>
            </w:r>
          </w:p>
        </w:tc>
        <w:tc>
          <w:tcPr>
            <w:tcW w:type="dxa" w:w="1020"/>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0</w:t>
            </w:r>
          </w:p>
        </w:tc>
        <w:tc>
          <w:tcPr>
            <w:tcW w:type="dxa" w:w="1701"/>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없음</w:t>
            </w:r>
          </w:p>
        </w:tc>
        <w:tc>
          <w:tcPr>
            <w:tcW w:type="dxa" w:w="1304"/>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w:t>
            </w:r>
          </w:p>
        </w:tc>
        <w:tc>
          <w:tcPr>
            <w:tcW w:type="dxa" w:w="1304"/>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0.000</w:t>
            </w:r>
          </w:p>
        </w:tc>
      </w:tr>
      <w:tr>
        <w:trPr>
          <w:cantSplit/>
          <w:cantSplit/>
        </w:trPr>
        <w:tc>
          <w:tcPr>
            <w:tcW w:type="dxa" w:w="2438"/>
            <w:tcMar>
              <w:top w:w="80" w:type="dxa"/>
              <w:start w:w="80" w:type="dxa"/>
              <w:bottom w:w="80" w:type="dxa"/>
              <w:end w:w="80" w:type="dxa"/>
            </w:tcMar>
            <w:vAlign w:val="center"/>
          </w:tcPr>
          <w:p>
            <w:pPr>
              <w:spacing w:after="0" w:line="264" w:lineRule="auto"/>
              <w:jc w:val="left"/>
            </w:pPr>
            <w:r>
              <w:rPr>
                <w:rFonts w:ascii="Noto Sans CJK KR" w:hAnsi="Noto Sans CJK KR" w:eastAsia="Noto Sans CJK KR"/>
                <w:b w:val="0"/>
                <w:sz w:val="17"/>
              </w:rPr>
              <w:t>Sonnet KR vs EN</w:t>
            </w:r>
          </w:p>
        </w:tc>
        <w:tc>
          <w:tcPr>
            <w:tcW w:type="dxa" w:w="90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60</w:t>
            </w:r>
          </w:p>
        </w:tc>
        <w:tc>
          <w:tcPr>
            <w:tcW w:type="dxa" w:w="1134"/>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0.183</w:t>
            </w:r>
          </w:p>
        </w:tc>
        <w:tc>
          <w:tcPr>
            <w:tcW w:type="dxa" w:w="1020"/>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4</w:t>
            </w:r>
          </w:p>
        </w:tc>
        <w:tc>
          <w:tcPr>
            <w:tcW w:type="dxa" w:w="1701"/>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KR &gt; EN 4</w:t>
            </w:r>
          </w:p>
        </w:tc>
        <w:tc>
          <w:tcPr>
            <w:tcW w:type="dxa" w:w="1304"/>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0.125</w:t>
            </w:r>
          </w:p>
        </w:tc>
        <w:tc>
          <w:tcPr>
            <w:tcW w:type="dxa" w:w="1304"/>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0.245</w:t>
            </w:r>
          </w:p>
        </w:tc>
      </w:tr>
      <w:tr>
        <w:trPr>
          <w:cantSplit/>
          <w:cantSplit/>
        </w:trPr>
        <w:tc>
          <w:tcPr>
            <w:tcW w:type="dxa" w:w="2438"/>
            <w:tcMar>
              <w:top w:w="80" w:type="dxa"/>
              <w:start w:w="80" w:type="dxa"/>
              <w:bottom w:w="80" w:type="dxa"/>
              <w:end w:w="80" w:type="dxa"/>
            </w:tcMar>
            <w:vAlign w:val="center"/>
          </w:tcPr>
          <w:p>
            <w:pPr>
              <w:spacing w:after="0" w:line="264" w:lineRule="auto"/>
              <w:jc w:val="left"/>
            </w:pPr>
            <w:r>
              <w:rPr>
                <w:rFonts w:ascii="Noto Sans CJK KR" w:hAnsi="Noto Sans CJK KR" w:eastAsia="Noto Sans CJK KR"/>
                <w:b w:val="0"/>
                <w:sz w:val="17"/>
              </w:rPr>
              <w:t>Opus vs Sonnet | KR</w:t>
            </w:r>
          </w:p>
        </w:tc>
        <w:tc>
          <w:tcPr>
            <w:tcW w:type="dxa" w:w="90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60</w:t>
            </w:r>
          </w:p>
        </w:tc>
        <w:tc>
          <w:tcPr>
            <w:tcW w:type="dxa" w:w="1134"/>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0.000</w:t>
            </w:r>
          </w:p>
        </w:tc>
        <w:tc>
          <w:tcPr>
            <w:tcW w:type="dxa" w:w="1020"/>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0</w:t>
            </w:r>
          </w:p>
        </w:tc>
        <w:tc>
          <w:tcPr>
            <w:tcW w:type="dxa" w:w="1701"/>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없음</w:t>
            </w:r>
          </w:p>
        </w:tc>
        <w:tc>
          <w:tcPr>
            <w:tcW w:type="dxa" w:w="1304"/>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w:t>
            </w:r>
          </w:p>
        </w:tc>
        <w:tc>
          <w:tcPr>
            <w:tcW w:type="dxa" w:w="1304"/>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0.000</w:t>
            </w:r>
          </w:p>
        </w:tc>
      </w:tr>
      <w:tr>
        <w:trPr>
          <w:cantSplit/>
          <w:cantSplit/>
        </w:trPr>
        <w:tc>
          <w:tcPr>
            <w:tcW w:type="dxa" w:w="2438"/>
            <w:tcMar>
              <w:top w:w="80" w:type="dxa"/>
              <w:start w:w="80" w:type="dxa"/>
              <w:bottom w:w="80" w:type="dxa"/>
              <w:end w:w="80" w:type="dxa"/>
            </w:tcMar>
            <w:vAlign w:val="center"/>
          </w:tcPr>
          <w:p>
            <w:pPr>
              <w:spacing w:after="0" w:line="264" w:lineRule="auto"/>
              <w:jc w:val="left"/>
            </w:pPr>
            <w:r>
              <w:rPr>
                <w:rFonts w:ascii="Noto Sans CJK KR" w:hAnsi="Noto Sans CJK KR" w:eastAsia="Noto Sans CJK KR"/>
                <w:b w:val="0"/>
                <w:sz w:val="17"/>
              </w:rPr>
              <w:t>Opus vs Sonnet | EN</w:t>
            </w:r>
          </w:p>
        </w:tc>
        <w:tc>
          <w:tcPr>
            <w:tcW w:type="dxa" w:w="90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60</w:t>
            </w:r>
          </w:p>
        </w:tc>
        <w:tc>
          <w:tcPr>
            <w:tcW w:type="dxa" w:w="1134"/>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0.183</w:t>
            </w:r>
          </w:p>
        </w:tc>
        <w:tc>
          <w:tcPr>
            <w:tcW w:type="dxa" w:w="1020"/>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4</w:t>
            </w:r>
          </w:p>
        </w:tc>
        <w:tc>
          <w:tcPr>
            <w:tcW w:type="dxa" w:w="1701"/>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Opus &gt; Sonnet 4</w:t>
            </w:r>
          </w:p>
        </w:tc>
        <w:tc>
          <w:tcPr>
            <w:tcW w:type="dxa" w:w="1304"/>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0.125</w:t>
            </w:r>
          </w:p>
        </w:tc>
        <w:tc>
          <w:tcPr>
            <w:tcW w:type="dxa" w:w="1304"/>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0.245</w:t>
            </w:r>
          </w:p>
        </w:tc>
      </w:tr>
    </w:tbl>
    <w:p>
      <w:pPr>
        <w:spacing w:after="0" w:before="0"/>
      </w:pPr>
    </w:p>
    <w:p>
      <w:pPr>
        <w:pStyle w:val="Heading2"/>
        <w:keepNext/>
      </w:pPr>
      <w:r>
        <w:rPr>
          <w:rFonts w:ascii="Noto Sans CJK KR" w:hAnsi="Noto Sans CJK KR" w:eastAsia="Noto Sans CJK KR"/>
          <w:sz w:val="24"/>
        </w:rPr>
        <w:t>6.4 Category-Level Results</w:t>
      </w:r>
    </w:p>
    <w:p>
      <w:pPr>
        <w:spacing w:line="348" w:lineRule="auto" w:after="100"/>
        <w:ind w:firstLine="397"/>
        <w:jc w:val="both"/>
      </w:pPr>
      <w:r>
        <w:rPr>
          <w:rFonts w:ascii="Noto Serif CJK KR" w:hAnsi="Noto Serif CJK KR" w:eastAsia="Noto Serif CJK KR"/>
          <w:i w:val="0"/>
          <w:sz w:val="21"/>
        </w:rPr>
        <w:t>영역별 차이 역시 Sonnet-EN에서만 나타났다. Mathematics는 15문항 전부 100점으로 차이가 없었다. Logic과 Science에서는 각각 1개 문항이 감점되어 평균 99.8점, Error Detection에서는 2개 문항이 감점되어 평균 99.667점이었다. 그러나 각 영역의 비영 차이가 0~2개에 불과하므로 영역 효과를 안정적으로 일반화하기 어렵다.</w:t>
      </w:r>
    </w:p>
    <w:p>
      <w:pPr>
        <w:keepNext/>
        <w:jc w:val="center"/>
      </w:pPr>
      <w:r>
        <w:rPr>
          <w:rFonts w:ascii="Noto Sans CJK KR" w:hAnsi="Noto Sans CJK KR" w:eastAsia="Noto Sans CJK KR"/>
          <w:b/>
          <w:sz w:val="19"/>
        </w:rPr>
        <w:t>표 5. 영역별 평균 점수</w:t>
      </w:r>
    </w:p>
    <w:tbl>
      <w:tblPr>
        <w:tblStyle w:val="TableGrid"/>
        <w:tblW w:type="auto" w:w="0"/>
        <w:jc w:val="center"/>
        <w:tblLook w:firstColumn="1" w:firstRow="1" w:lastColumn="0" w:lastRow="0" w:noHBand="0" w:noVBand="1" w:val="04A0"/>
      </w:tblPr>
      <w:tblGrid>
        <w:gridCol w:w="1904"/>
        <w:gridCol w:w="1904"/>
        <w:gridCol w:w="1904"/>
        <w:gridCol w:w="1904"/>
        <w:gridCol w:w="1904"/>
      </w:tblGrid>
      <w:tr>
        <w:trPr>
          <w:tblHeader w:val="true"/>
          <w:cantSplit/>
          <w:tblHeader w:val="true"/>
          <w:cantSplit/>
        </w:trPr>
        <w:tc>
          <w:tcPr>
            <w:tcW w:type="dxa" w:w="2268"/>
            <w:shd w:fill="D9EAF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sz w:val="17"/>
              </w:rPr>
              <w:t>영역</w:t>
            </w:r>
          </w:p>
        </w:tc>
        <w:tc>
          <w:tcPr>
            <w:tcW w:type="dxa" w:w="1701"/>
            <w:shd w:fill="D9EAF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sz w:val="17"/>
              </w:rPr>
              <w:t>Opus-KR</w:t>
            </w:r>
          </w:p>
        </w:tc>
        <w:tc>
          <w:tcPr>
            <w:tcW w:type="dxa" w:w="1701"/>
            <w:shd w:fill="D9EAF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sz w:val="17"/>
              </w:rPr>
              <w:t>Opus-EN</w:t>
            </w:r>
          </w:p>
        </w:tc>
        <w:tc>
          <w:tcPr>
            <w:tcW w:type="dxa" w:w="1701"/>
            <w:shd w:fill="D9EAF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sz w:val="17"/>
              </w:rPr>
              <w:t>Sonnet-KR</w:t>
            </w:r>
          </w:p>
        </w:tc>
        <w:tc>
          <w:tcPr>
            <w:tcW w:type="dxa" w:w="1701"/>
            <w:shd w:fill="D9EAF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sz w:val="17"/>
              </w:rPr>
              <w:t>Sonnet-EN</w:t>
            </w:r>
          </w:p>
        </w:tc>
      </w:tr>
      <w:tr>
        <w:trPr>
          <w:cantSplit/>
          <w:cantSplit/>
        </w:trPr>
        <w:tc>
          <w:tcPr>
            <w:tcW w:type="dxa" w:w="2268"/>
            <w:tcMar>
              <w:top w:w="80" w:type="dxa"/>
              <w:start w:w="80" w:type="dxa"/>
              <w:bottom w:w="80" w:type="dxa"/>
              <w:end w:w="80" w:type="dxa"/>
            </w:tcMar>
            <w:vAlign w:val="center"/>
          </w:tcPr>
          <w:p>
            <w:pPr>
              <w:spacing w:after="0" w:line="264" w:lineRule="auto"/>
              <w:jc w:val="left"/>
            </w:pPr>
            <w:r>
              <w:rPr>
                <w:rFonts w:ascii="Noto Sans CJK KR" w:hAnsi="Noto Sans CJK KR" w:eastAsia="Noto Sans CJK KR"/>
                <w:b w:val="0"/>
                <w:sz w:val="17"/>
              </w:rPr>
              <w:t>Mathematics</w:t>
            </w:r>
          </w:p>
        </w:tc>
        <w:tc>
          <w:tcPr>
            <w:tcW w:type="dxa" w:w="1701"/>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100.000</w:t>
            </w:r>
          </w:p>
        </w:tc>
        <w:tc>
          <w:tcPr>
            <w:tcW w:type="dxa" w:w="1701"/>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100.000</w:t>
            </w:r>
          </w:p>
        </w:tc>
        <w:tc>
          <w:tcPr>
            <w:tcW w:type="dxa" w:w="1701"/>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100.000</w:t>
            </w:r>
          </w:p>
        </w:tc>
        <w:tc>
          <w:tcPr>
            <w:tcW w:type="dxa" w:w="1701"/>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100.000</w:t>
            </w:r>
          </w:p>
        </w:tc>
      </w:tr>
      <w:tr>
        <w:trPr>
          <w:cantSplit/>
          <w:cantSplit/>
        </w:trPr>
        <w:tc>
          <w:tcPr>
            <w:tcW w:type="dxa" w:w="2268"/>
            <w:tcMar>
              <w:top w:w="80" w:type="dxa"/>
              <w:start w:w="80" w:type="dxa"/>
              <w:bottom w:w="80" w:type="dxa"/>
              <w:end w:w="80" w:type="dxa"/>
            </w:tcMar>
            <w:vAlign w:val="center"/>
          </w:tcPr>
          <w:p>
            <w:pPr>
              <w:spacing w:after="0" w:line="264" w:lineRule="auto"/>
              <w:jc w:val="left"/>
            </w:pPr>
            <w:r>
              <w:rPr>
                <w:rFonts w:ascii="Noto Sans CJK KR" w:hAnsi="Noto Sans CJK KR" w:eastAsia="Noto Sans CJK KR"/>
                <w:b w:val="0"/>
                <w:sz w:val="17"/>
              </w:rPr>
              <w:t>Logic</w:t>
            </w:r>
          </w:p>
        </w:tc>
        <w:tc>
          <w:tcPr>
            <w:tcW w:type="dxa" w:w="1701"/>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100.000</w:t>
            </w:r>
          </w:p>
        </w:tc>
        <w:tc>
          <w:tcPr>
            <w:tcW w:type="dxa" w:w="1701"/>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100.000</w:t>
            </w:r>
          </w:p>
        </w:tc>
        <w:tc>
          <w:tcPr>
            <w:tcW w:type="dxa" w:w="1701"/>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100.000</w:t>
            </w:r>
          </w:p>
        </w:tc>
        <w:tc>
          <w:tcPr>
            <w:tcW w:type="dxa" w:w="1701"/>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99.800</w:t>
            </w:r>
          </w:p>
        </w:tc>
      </w:tr>
      <w:tr>
        <w:trPr>
          <w:cantSplit/>
          <w:cantSplit/>
        </w:trPr>
        <w:tc>
          <w:tcPr>
            <w:tcW w:type="dxa" w:w="2268"/>
            <w:tcMar>
              <w:top w:w="80" w:type="dxa"/>
              <w:start w:w="80" w:type="dxa"/>
              <w:bottom w:w="80" w:type="dxa"/>
              <w:end w:w="80" w:type="dxa"/>
            </w:tcMar>
            <w:vAlign w:val="center"/>
          </w:tcPr>
          <w:p>
            <w:pPr>
              <w:spacing w:after="0" w:line="264" w:lineRule="auto"/>
              <w:jc w:val="left"/>
            </w:pPr>
            <w:r>
              <w:rPr>
                <w:rFonts w:ascii="Noto Sans CJK KR" w:hAnsi="Noto Sans CJK KR" w:eastAsia="Noto Sans CJK KR"/>
                <w:b w:val="0"/>
                <w:sz w:val="17"/>
              </w:rPr>
              <w:t>Science</w:t>
            </w:r>
          </w:p>
        </w:tc>
        <w:tc>
          <w:tcPr>
            <w:tcW w:type="dxa" w:w="1701"/>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100.000</w:t>
            </w:r>
          </w:p>
        </w:tc>
        <w:tc>
          <w:tcPr>
            <w:tcW w:type="dxa" w:w="1701"/>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100.000</w:t>
            </w:r>
          </w:p>
        </w:tc>
        <w:tc>
          <w:tcPr>
            <w:tcW w:type="dxa" w:w="1701"/>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100.000</w:t>
            </w:r>
          </w:p>
        </w:tc>
        <w:tc>
          <w:tcPr>
            <w:tcW w:type="dxa" w:w="1701"/>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99.800</w:t>
            </w:r>
          </w:p>
        </w:tc>
      </w:tr>
      <w:tr>
        <w:trPr>
          <w:cantSplit/>
          <w:cantSplit/>
        </w:trPr>
        <w:tc>
          <w:tcPr>
            <w:tcW w:type="dxa" w:w="2268"/>
            <w:tcMar>
              <w:top w:w="80" w:type="dxa"/>
              <w:start w:w="80" w:type="dxa"/>
              <w:bottom w:w="80" w:type="dxa"/>
              <w:end w:w="80" w:type="dxa"/>
            </w:tcMar>
            <w:vAlign w:val="center"/>
          </w:tcPr>
          <w:p>
            <w:pPr>
              <w:spacing w:after="0" w:line="264" w:lineRule="auto"/>
              <w:jc w:val="left"/>
            </w:pPr>
            <w:r>
              <w:rPr>
                <w:rFonts w:ascii="Noto Sans CJK KR" w:hAnsi="Noto Sans CJK KR" w:eastAsia="Noto Sans CJK KR"/>
                <w:b w:val="0"/>
                <w:sz w:val="17"/>
              </w:rPr>
              <w:t>Error Detection</w:t>
            </w:r>
          </w:p>
        </w:tc>
        <w:tc>
          <w:tcPr>
            <w:tcW w:type="dxa" w:w="1701"/>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100.000</w:t>
            </w:r>
          </w:p>
        </w:tc>
        <w:tc>
          <w:tcPr>
            <w:tcW w:type="dxa" w:w="1701"/>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100.000</w:t>
            </w:r>
          </w:p>
        </w:tc>
        <w:tc>
          <w:tcPr>
            <w:tcW w:type="dxa" w:w="1701"/>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100.000</w:t>
            </w:r>
          </w:p>
        </w:tc>
        <w:tc>
          <w:tcPr>
            <w:tcW w:type="dxa" w:w="1701"/>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99.667</w:t>
            </w:r>
          </w:p>
        </w:tc>
      </w:tr>
    </w:tbl>
    <w:p>
      <w:pPr>
        <w:jc w:val="center"/>
      </w:pPr>
      <w:r>
        <w:drawing>
          <wp:inline xmlns:a="http://schemas.openxmlformats.org/drawingml/2006/main" xmlns:pic="http://schemas.openxmlformats.org/drawingml/2006/picture">
            <wp:extent cx="5292000" cy="3208402"/>
            <wp:docPr id="2" name="Picture 2" descr="Image: image2.png"/>
            <wp:cNvGraphicFramePr>
              <a:graphicFrameLocks noChangeAspect="1"/>
            </wp:cNvGraphicFramePr>
            <a:graphic>
              <a:graphicData uri="http://schemas.openxmlformats.org/drawingml/2006/picture">
                <pic:pic>
                  <pic:nvPicPr>
                    <pic:cNvPr id="0" name="P2-Bench_Figure2_Nonperfect_by_Category.png"/>
                    <pic:cNvPicPr/>
                  </pic:nvPicPr>
                  <pic:blipFill>
                    <a:blip r:embed="rId11"/>
                    <a:stretch>
                      <a:fillRect/>
                    </a:stretch>
                  </pic:blipFill>
                  <pic:spPr>
                    <a:xfrm>
                      <a:off x="0" y="0"/>
                      <a:ext cx="5292000" cy="3208402"/>
                    </a:xfrm>
                    <a:prstGeom prst="rect"/>
                  </pic:spPr>
                </pic:pic>
              </a:graphicData>
            </a:graphic>
          </wp:inline>
        </w:drawing>
      </w:r>
    </w:p>
    <w:p>
      <w:pPr>
        <w:jc w:val="center"/>
      </w:pPr>
      <w:r>
        <w:rPr>
          <w:rFonts w:ascii="Noto Sans CJK KR" w:hAnsi="Noto Sans CJK KR" w:eastAsia="Noto Sans CJK KR"/>
          <w:b/>
          <w:sz w:val="18"/>
        </w:rPr>
        <w:t>그림 2. 비완벽 응답의 영역별 분포</w:t>
      </w:r>
    </w:p>
    <w:p>
      <w:pPr>
        <w:jc w:val="center"/>
      </w:pPr>
      <w:r>
        <w:rPr>
          <w:rFonts w:ascii="Noto Serif CJK KR" w:hAnsi="Noto Serif CJK KR" w:eastAsia="Noto Serif CJK KR"/>
          <w:sz w:val="17"/>
        </w:rPr>
        <w:t>주. 비완벽 응답 4건은 모두 Claude Sonnet 5.5의 영어 입력 조건에서 발생하였다.</w:t>
      </w:r>
    </w:p>
    <w:p>
      <w:pPr>
        <w:spacing w:after="0" w:before="0"/>
      </w:pPr>
    </w:p>
    <w:p>
      <w:pPr>
        <w:pStyle w:val="Heading1"/>
        <w:keepNext/>
      </w:pPr>
      <w:r>
        <w:rPr>
          <w:rFonts w:ascii="Noto Sans CJK KR" w:hAnsi="Noto Sans CJK KR" w:eastAsia="Noto Sans CJK KR"/>
          <w:sz w:val="28"/>
        </w:rPr>
        <w:t>7. Error Analysis</w:t>
      </w:r>
    </w:p>
    <w:p>
      <w:pPr>
        <w:spacing w:line="348" w:lineRule="auto" w:after="100"/>
        <w:ind w:firstLine="397"/>
        <w:jc w:val="both"/>
      </w:pPr>
      <w:r>
        <w:rPr>
          <w:rFonts w:ascii="Noto Serif CJK KR" w:hAnsi="Noto Serif CJK KR" w:eastAsia="Noto Serif CJK KR"/>
          <w:i w:val="0"/>
          <w:sz w:val="21"/>
        </w:rPr>
        <w:t>비완벽 응답은 총 4건으로 전체의 1.7%였다. 네 사례 모두 Claude Sonnet 5.5의 영어 입력 조건에서 발생했다. 환각(HALL)으로 분류된 사례는 없었으며, 두 사례에서는 초기 오류를 모델이 응답 내부에서 스스로 수정하였다.</w:t>
      </w:r>
    </w:p>
    <w:p>
      <w:pPr>
        <w:keepNext/>
        <w:jc w:val="center"/>
      </w:pPr>
      <w:r>
        <w:rPr>
          <w:rFonts w:ascii="Noto Sans CJK KR" w:hAnsi="Noto Sans CJK KR" w:eastAsia="Noto Sans CJK KR"/>
          <w:b/>
          <w:sz w:val="19"/>
        </w:rPr>
        <w:t>표 6. 비완벽 응답 4건의 오류 특성</w:t>
      </w:r>
    </w:p>
    <w:tbl>
      <w:tblPr>
        <w:tblStyle w:val="TableGrid"/>
        <w:tblW w:type="auto" w:w="0"/>
        <w:jc w:val="center"/>
        <w:tblLook w:firstColumn="1" w:firstRow="1" w:lastColumn="0" w:lastRow="0" w:noHBand="0" w:noVBand="1" w:val="04A0"/>
      </w:tblPr>
      <w:tblGrid>
        <w:gridCol w:w="1586"/>
        <w:gridCol w:w="1586"/>
        <w:gridCol w:w="1586"/>
        <w:gridCol w:w="1586"/>
        <w:gridCol w:w="1586"/>
        <w:gridCol w:w="1586"/>
      </w:tblGrid>
      <w:tr>
        <w:trPr>
          <w:tblHeader w:val="true"/>
          <w:cantSplit/>
          <w:tblHeader w:val="true"/>
          <w:cantSplit/>
        </w:trPr>
        <w:tc>
          <w:tcPr>
            <w:tcW w:type="dxa" w:w="1814"/>
            <w:shd w:fill="D9EAF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sz w:val="17"/>
              </w:rPr>
              <w:t>Run_ID</w:t>
            </w:r>
          </w:p>
        </w:tc>
        <w:tc>
          <w:tcPr>
            <w:tcW w:type="dxa" w:w="1814"/>
            <w:shd w:fill="D9EAF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sz w:val="17"/>
              </w:rPr>
              <w:t>영역/문항</w:t>
            </w:r>
          </w:p>
        </w:tc>
        <w:tc>
          <w:tcPr>
            <w:tcW w:type="dxa" w:w="737"/>
            <w:shd w:fill="D9EAF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sz w:val="17"/>
              </w:rPr>
              <w:t>점수</w:t>
            </w:r>
          </w:p>
        </w:tc>
        <w:tc>
          <w:tcPr>
            <w:tcW w:type="dxa" w:w="1304"/>
            <w:shd w:fill="D9EAF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sz w:val="17"/>
              </w:rPr>
              <w:t>오류</w:t>
            </w:r>
          </w:p>
        </w:tc>
        <w:tc>
          <w:tcPr>
            <w:tcW w:type="dxa" w:w="1134"/>
            <w:shd w:fill="D9EAF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sz w:val="17"/>
              </w:rPr>
              <w:t>자기수정</w:t>
            </w:r>
          </w:p>
        </w:tc>
        <w:tc>
          <w:tcPr>
            <w:tcW w:type="dxa" w:w="4535"/>
            <w:shd w:fill="D9EAF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sz w:val="17"/>
              </w:rPr>
              <w:t>핵심 관찰</w:t>
            </w:r>
          </w:p>
        </w:tc>
      </w:tr>
      <w:tr>
        <w:trPr>
          <w:cantSplit/>
          <w:cantSplit/>
        </w:trPr>
        <w:tc>
          <w:tcPr>
            <w:tcW w:type="dxa" w:w="1814"/>
            <w:tcMar>
              <w:top w:w="80" w:type="dxa"/>
              <w:start w:w="80" w:type="dxa"/>
              <w:bottom w:w="80" w:type="dxa"/>
              <w:end w:w="80" w:type="dxa"/>
            </w:tcMar>
            <w:vAlign w:val="center"/>
          </w:tcPr>
          <w:p>
            <w:pPr>
              <w:spacing w:after="0" w:line="264" w:lineRule="auto"/>
              <w:jc w:val="left"/>
            </w:pPr>
            <w:r>
              <w:rPr>
                <w:rFonts w:ascii="Noto Sans CJK KR" w:hAnsi="Noto Sans CJK KR" w:eastAsia="Noto Sans CJK KR"/>
                <w:b w:val="0"/>
                <w:sz w:val="17"/>
              </w:rPr>
              <w:t>P2M-02-052</w:t>
            </w:r>
          </w:p>
        </w:tc>
        <w:tc>
          <w:tcPr>
            <w:tcW w:type="dxa" w:w="1814"/>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Logic / L15</w:t>
            </w:r>
          </w:p>
        </w:tc>
        <w:tc>
          <w:tcPr>
            <w:tcW w:type="dxa" w:w="73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97</w:t>
            </w:r>
          </w:p>
        </w:tc>
        <w:tc>
          <w:tcPr>
            <w:tcW w:type="dxa" w:w="1304"/>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LOG</w:t>
            </w:r>
          </w:p>
        </w:tc>
        <w:tc>
          <w:tcPr>
            <w:tcW w:type="dxa" w:w="1134"/>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Yes</w:t>
            </w:r>
          </w:p>
        </w:tc>
        <w:tc>
          <w:tcPr>
            <w:tcW w:type="dxa" w:w="4535"/>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초기에 단일 범인을 단정했으나 경우분석 후 “유일 결정 불가”로 철회</w:t>
            </w:r>
          </w:p>
        </w:tc>
      </w:tr>
      <w:tr>
        <w:trPr>
          <w:cantSplit/>
          <w:cantSplit/>
        </w:trPr>
        <w:tc>
          <w:tcPr>
            <w:tcW w:type="dxa" w:w="1814"/>
            <w:tcMar>
              <w:top w:w="80" w:type="dxa"/>
              <w:start w:w="80" w:type="dxa"/>
              <w:bottom w:w="80" w:type="dxa"/>
              <w:end w:w="80" w:type="dxa"/>
            </w:tcMar>
            <w:vAlign w:val="center"/>
          </w:tcPr>
          <w:p>
            <w:pPr>
              <w:spacing w:after="0" w:line="264" w:lineRule="auto"/>
              <w:jc w:val="left"/>
            </w:pPr>
            <w:r>
              <w:rPr>
                <w:rFonts w:ascii="Noto Sans CJK KR" w:hAnsi="Noto Sans CJK KR" w:eastAsia="Noto Sans CJK KR"/>
                <w:b w:val="0"/>
                <w:sz w:val="17"/>
              </w:rPr>
              <w:t>P2M-02-100</w:t>
            </w:r>
          </w:p>
        </w:tc>
        <w:tc>
          <w:tcPr>
            <w:tcW w:type="dxa" w:w="1814"/>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Science / S05</w:t>
            </w:r>
          </w:p>
        </w:tc>
        <w:tc>
          <w:tcPr>
            <w:tcW w:type="dxa" w:w="73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97</w:t>
            </w:r>
          </w:p>
        </w:tc>
        <w:tc>
          <w:tcPr>
            <w:tcW w:type="dxa" w:w="1304"/>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COND</w:t>
            </w:r>
          </w:p>
        </w:tc>
        <w:tc>
          <w:tcPr>
            <w:tcW w:type="dxa" w:w="1134"/>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Yes</w:t>
            </w:r>
          </w:p>
        </w:tc>
        <w:tc>
          <w:tcPr>
            <w:tcW w:type="dxa" w:w="4535"/>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첫 문장에서 제한반응물을 잘못 적었으나 몰비 계산으로 즉시 수정</w:t>
            </w:r>
          </w:p>
        </w:tc>
      </w:tr>
      <w:tr>
        <w:trPr>
          <w:cantSplit/>
          <w:cantSplit/>
        </w:trPr>
        <w:tc>
          <w:tcPr>
            <w:tcW w:type="dxa" w:w="1814"/>
            <w:tcMar>
              <w:top w:w="80" w:type="dxa"/>
              <w:start w:w="80" w:type="dxa"/>
              <w:bottom w:w="80" w:type="dxa"/>
              <w:end w:w="80" w:type="dxa"/>
            </w:tcMar>
            <w:vAlign w:val="center"/>
          </w:tcPr>
          <w:p>
            <w:pPr>
              <w:spacing w:after="0" w:line="264" w:lineRule="auto"/>
              <w:jc w:val="left"/>
            </w:pPr>
            <w:r>
              <w:rPr>
                <w:rFonts w:ascii="Noto Sans CJK KR" w:hAnsi="Noto Sans CJK KR" w:eastAsia="Noto Sans CJK KR"/>
                <w:b w:val="0"/>
                <w:sz w:val="17"/>
              </w:rPr>
              <w:t>P2M-02-104</w:t>
            </w:r>
          </w:p>
        </w:tc>
        <w:tc>
          <w:tcPr>
            <w:tcW w:type="dxa" w:w="1814"/>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Error Detection / E15</w:t>
            </w:r>
          </w:p>
        </w:tc>
        <w:tc>
          <w:tcPr>
            <w:tcW w:type="dxa" w:w="73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96</w:t>
            </w:r>
          </w:p>
        </w:tc>
        <w:tc>
          <w:tcPr>
            <w:tcW w:type="dxa" w:w="1304"/>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OVER + UNC</w:t>
            </w:r>
          </w:p>
        </w:tc>
        <w:tc>
          <w:tcPr>
            <w:tcW w:type="dxa" w:w="1134"/>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N/A</w:t>
            </w:r>
          </w:p>
        </w:tc>
        <w:tc>
          <w:tcPr>
            <w:tcW w:type="dxa" w:w="4535"/>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출생연도 결정 불가를 맞게 판정한 뒤 근거 없는 출생시기 추정을 추가</w:t>
            </w:r>
          </w:p>
        </w:tc>
      </w:tr>
      <w:tr>
        <w:trPr>
          <w:cantSplit/>
          <w:cantSplit/>
        </w:trPr>
        <w:tc>
          <w:tcPr>
            <w:tcW w:type="dxa" w:w="1814"/>
            <w:tcMar>
              <w:top w:w="80" w:type="dxa"/>
              <w:start w:w="80" w:type="dxa"/>
              <w:bottom w:w="80" w:type="dxa"/>
              <w:end w:w="80" w:type="dxa"/>
            </w:tcMar>
            <w:vAlign w:val="center"/>
          </w:tcPr>
          <w:p>
            <w:pPr>
              <w:spacing w:after="0" w:line="264" w:lineRule="auto"/>
              <w:jc w:val="left"/>
            </w:pPr>
            <w:r>
              <w:rPr>
                <w:rFonts w:ascii="Noto Sans CJK KR" w:hAnsi="Noto Sans CJK KR" w:eastAsia="Noto Sans CJK KR"/>
                <w:b w:val="0"/>
                <w:sz w:val="17"/>
              </w:rPr>
              <w:t>P2M-02-109</w:t>
            </w:r>
          </w:p>
        </w:tc>
        <w:tc>
          <w:tcPr>
            <w:tcW w:type="dxa" w:w="1814"/>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Error Detection / E01</w:t>
            </w:r>
          </w:p>
        </w:tc>
        <w:tc>
          <w:tcPr>
            <w:tcW w:type="dxa" w:w="73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99</w:t>
            </w:r>
          </w:p>
        </w:tc>
        <w:tc>
          <w:tcPr>
            <w:tcW w:type="dxa" w:w="1304"/>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NONE</w:t>
            </w:r>
          </w:p>
        </w:tc>
        <w:tc>
          <w:tcPr>
            <w:tcW w:type="dxa" w:w="1134"/>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N/A</w:t>
            </w:r>
          </w:p>
        </w:tc>
        <w:tc>
          <w:tcPr>
            <w:tcW w:type="dxa" w:w="4535"/>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핵심 계산 오류 탐지는 정확하나 설명 문장 일부가 후속 설명과 국소적으로 모순</w:t>
            </w:r>
          </w:p>
        </w:tc>
      </w:tr>
    </w:tbl>
    <w:p>
      <w:pPr>
        <w:spacing w:after="0" w:before="0"/>
      </w:pPr>
    </w:p>
    <w:p>
      <w:pPr>
        <w:pStyle w:val="Heading2"/>
        <w:keepNext/>
      </w:pPr>
      <w:r>
        <w:rPr>
          <w:rFonts w:ascii="Noto Sans CJK KR" w:hAnsi="Noto Sans CJK KR" w:eastAsia="Noto Sans CJK KR"/>
          <w:sz w:val="24"/>
        </w:rPr>
        <w:t>7.1 Self-Correction as a Distinctive Failure-Recovery Pattern</w:t>
      </w:r>
    </w:p>
    <w:p>
      <w:pPr>
        <w:spacing w:line="348" w:lineRule="auto" w:after="100"/>
        <w:ind w:firstLine="397"/>
        <w:jc w:val="both"/>
      </w:pPr>
      <w:r>
        <w:rPr>
          <w:rFonts w:ascii="Noto Serif CJK KR" w:hAnsi="Noto Serif CJK KR" w:eastAsia="Noto Serif CJK KR"/>
          <w:i w:val="0"/>
          <w:sz w:val="21"/>
        </w:rPr>
        <w:t>L15와 S05는 최종 정답만 평가할 경우 완전한 성공으로 간주될 수 있으나, 전체 응답을 보면 초기 추론 단계에서 오류가 발생한 뒤 모델이 이를 바로잡았다. 이는 최종 정확도와 추론 안정성이 동일한 개념이 아님을 보여준다. 특히 고성능 모델 평가에서 최종 답만으로는 transient error를 포착하기 어렵기 때문에 자기수정 여부를 별도 변수로 기록하는 것이 유용하다.</w:t>
      </w:r>
    </w:p>
    <w:p>
      <w:pPr>
        <w:pStyle w:val="Heading2"/>
        <w:keepNext/>
      </w:pPr>
      <w:r>
        <w:rPr>
          <w:rFonts w:ascii="Noto Sans CJK KR" w:hAnsi="Noto Sans CJK KR" w:eastAsia="Noto Sans CJK KR"/>
          <w:sz w:val="24"/>
        </w:rPr>
        <w:t>7.2 Information Sufficiency and Over-Inference</w:t>
      </w:r>
    </w:p>
    <w:p>
      <w:pPr>
        <w:spacing w:line="348" w:lineRule="auto" w:after="100"/>
        <w:ind w:firstLine="397"/>
        <w:jc w:val="both"/>
      </w:pPr>
      <w:r>
        <w:rPr>
          <w:rFonts w:ascii="Noto Serif CJK KR" w:hAnsi="Noto Serif CJK KR" w:eastAsia="Noto Serif CJK KR"/>
          <w:i w:val="0"/>
          <w:sz w:val="21"/>
        </w:rPr>
        <w:t>E15 사례는 정보가 부족하다는 핵심 판단 자체는 정확했지만, 그 이후 자료가 지지하지 않는 구체적 시기를 추정했다. Error Detection 과제에서는 “틀린 추론을 알아차리는 능력”뿐 아니라 불필요한 추가 추론을 억제하는 능력이 중요하다. 따라서 정보 충분성 실패(UNC)와 과잉일반화 또는 과잉추론(OVER)을 분리해 기록할 필요가 있다.</w:t>
      </w:r>
    </w:p>
    <w:p>
      <w:pPr>
        <w:pStyle w:val="Heading1"/>
        <w:keepNext/>
      </w:pPr>
      <w:r>
        <w:rPr>
          <w:rFonts w:ascii="Noto Sans CJK KR" w:hAnsi="Noto Sans CJK KR" w:eastAsia="Noto Sans CJK KR"/>
          <w:sz w:val="28"/>
        </w:rPr>
        <w:t>8. Discussion</w:t>
      </w:r>
    </w:p>
    <w:p>
      <w:pPr>
        <w:pStyle w:val="Heading2"/>
        <w:keepNext/>
      </w:pPr>
      <w:r>
        <w:rPr>
          <w:rFonts w:ascii="Noto Sans CJK KR" w:hAnsi="Noto Sans CJK KR" w:eastAsia="Noto Sans CJK KR"/>
          <w:sz w:val="24"/>
        </w:rPr>
        <w:t>8.1 Interpretation of RQ1–RQ4</w:t>
      </w:r>
    </w:p>
    <w:p>
      <w:pPr>
        <w:spacing w:line="348" w:lineRule="auto" w:after="100"/>
        <w:ind w:firstLine="397"/>
        <w:jc w:val="both"/>
      </w:pPr>
      <w:r>
        <w:rPr>
          <w:rFonts w:ascii="Noto Serif CJK KR" w:hAnsi="Noto Serif CJK KR" w:eastAsia="Noto Serif CJK KR"/>
          <w:i w:val="0"/>
          <w:sz w:val="21"/>
        </w:rPr>
        <w:t>RQ1과 관련하여 Opus와 Sonnet 사이에 큰 성능 격차는 관찰되지 않았다. 한국어 조건에서는 두 모델이 완전히 동일한 점수를 보였고, 영어 조건에서도 평균차는 0.183점에 불과했다. 따라서 본 데이터는 “Opus가 전반적으로 Sonnet보다 우수하다”는 강한 서열 결론을 지지하지 않는다.</w:t>
      </w:r>
    </w:p>
    <w:p>
      <w:pPr>
        <w:spacing w:line="348" w:lineRule="auto" w:after="100"/>
        <w:ind w:firstLine="397"/>
        <w:jc w:val="both"/>
      </w:pPr>
      <w:r>
        <w:rPr>
          <w:rFonts w:ascii="Noto Serif CJK KR" w:hAnsi="Noto Serif CJK KR" w:eastAsia="Noto Serif CJK KR"/>
          <w:i w:val="0"/>
          <w:sz w:val="21"/>
        </w:rPr>
        <w:t>RQ2에서는 Opus의 KR/EN 차이가 전혀 없었고 Sonnet에서만 네 개의 비영 paired difference가 관찰되었다. 모든 차이가 KR 우세 방향이라는 점은 주목할 수 있지만, 비영 관측치가 매우 적고 p=0.125이므로 언어 효과의 존재를 통계적으로 확정할 수 없다.</w:t>
      </w:r>
    </w:p>
    <w:p>
      <w:pPr>
        <w:spacing w:line="348" w:lineRule="auto" w:after="100"/>
        <w:ind w:firstLine="397"/>
        <w:jc w:val="both"/>
      </w:pPr>
      <w:r>
        <w:rPr>
          <w:rFonts w:ascii="Noto Serif CJK KR" w:hAnsi="Noto Serif CJK KR" w:eastAsia="Noto Serif CJK KR"/>
          <w:i w:val="0"/>
          <w:sz w:val="21"/>
        </w:rPr>
        <w:t>RQ3의 Model × Language 관점에서는 비완벽 응답이 모두 Sonnet-EN에 집중되었다는 패턴이 존재한다. 그러나 이 패턴은 네 사례에 의해 형성되므로 안정적인 상호작용 효과로 일반화하기보다는 후속 실험에서 검증할 탐색적 신호로 해석하는 것이 타당하다.</w:t>
      </w:r>
    </w:p>
    <w:p>
      <w:pPr>
        <w:spacing w:line="348" w:lineRule="auto" w:after="100"/>
        <w:ind w:firstLine="397"/>
        <w:jc w:val="both"/>
      </w:pPr>
      <w:r>
        <w:rPr>
          <w:rFonts w:ascii="Noto Serif CJK KR" w:hAnsi="Noto Serif CJK KR" w:eastAsia="Noto Serif CJK KR"/>
          <w:i w:val="0"/>
          <w:sz w:val="21"/>
        </w:rPr>
        <w:t>RQ4에서는 Error Detection에서 가장 많은 비완벽 사례가 발생했고 Logic과 Science에서 각각 한 사례가 발생했다. Mathematics에서는 차이가 없었다. 하지만 하위영역별 사례 수가 매우 적어 영역별 난이도 차이나 취약성을 확정하기 어렵다.</w:t>
      </w:r>
    </w:p>
    <w:p>
      <w:pPr>
        <w:pStyle w:val="Heading2"/>
        <w:keepNext/>
      </w:pPr>
      <w:r>
        <w:rPr>
          <w:rFonts w:ascii="Noto Sans CJK KR" w:hAnsi="Noto Sans CJK KR" w:eastAsia="Noto Sans CJK KR"/>
          <w:sz w:val="24"/>
        </w:rPr>
        <w:t>8.2 Ceiling Effect as an Empirical Finding</w:t>
      </w:r>
    </w:p>
    <w:p>
      <w:pPr>
        <w:spacing w:line="348" w:lineRule="auto" w:after="100"/>
        <w:ind w:firstLine="397"/>
        <w:jc w:val="both"/>
      </w:pPr>
      <w:r>
        <w:rPr>
          <w:rFonts w:ascii="Noto Serif CJK KR" w:hAnsi="Noto Serif CJK KR" w:eastAsia="Noto Serif CJK KR"/>
          <w:i w:val="0"/>
          <w:sz w:val="21"/>
        </w:rPr>
        <w:t>본 연구에서는 98.3%의 응답이 만점을 기록했다. 이는 단순히 “실험 실패”로 처리하기보다 현재 수준의 상용 고성능 LLM에 대해 P2-Bench v1.0의 문항 난이도와 100점 루브릭이 충분한 변별력을 제공하지 못했다는 경험적 결과로 해석할 수 있다. 즉 P2-Bench v1.0은 명백한 오류 탐지와 기본적 추론 능력을 확인하는 데는 유효하지만, 매우 높은 성능의 최신 모델 사이 미세한 차이를 안정적으로 구분하는 데에는 한계가 있다.</w:t>
      </w:r>
    </w:p>
    <w:p>
      <w:pPr>
        <w:spacing w:line="348" w:lineRule="auto" w:after="100"/>
        <w:ind w:firstLine="397"/>
        <w:jc w:val="both"/>
      </w:pPr>
      <w:r>
        <w:rPr>
          <w:rFonts w:ascii="Noto Serif CJK KR" w:hAnsi="Noto Serif CJK KR" w:eastAsia="Noto Serif CJK KR"/>
          <w:i w:val="0"/>
          <w:sz w:val="21"/>
        </w:rPr>
        <w:t>이 ceiling effect는 다국어 추론 평가에서 평균 점수만 사용하는 접근의 한계를 강화한다. 점수 차이가 거의 사라질 때는 transient error, 자기수정, 과잉추론, 설명 내부 모순과 같은 질적 패턴이 더 높은 정보가치를 가질 수 있다. 따라서 후속 P2-Bench v2에서는 adversarial distractor, underspecified premise, multi-step constraint interaction, calibrated uncertainty와 같은 문항을 확대할 필요가 있다.</w:t>
      </w:r>
    </w:p>
    <w:p>
      <w:pPr>
        <w:pStyle w:val="Heading2"/>
        <w:keepNext/>
      </w:pPr>
      <w:r>
        <w:rPr>
          <w:rFonts w:ascii="Noto Sans CJK KR" w:hAnsi="Noto Sans CJK KR" w:eastAsia="Noto Sans CJK KR"/>
          <w:sz w:val="24"/>
        </w:rPr>
        <w:t>8.3 Relation to Prior Multilingual Evaluation</w:t>
      </w:r>
    </w:p>
    <w:p>
      <w:pPr>
        <w:spacing w:line="348" w:lineRule="auto" w:after="100"/>
        <w:ind w:firstLine="397"/>
        <w:jc w:val="both"/>
      </w:pPr>
      <w:r>
        <w:rPr>
          <w:rFonts w:ascii="Noto Serif CJK KR" w:hAnsi="Noto Serif CJK KR" w:eastAsia="Noto Serif CJK KR"/>
          <w:i w:val="0"/>
          <w:sz w:val="21"/>
        </w:rPr>
        <w:t>선행 연구는 모델이 여러 언어에서 강한 추론 능력을 보이면서도 언어별 일관성에는 변동이 존재할 수 있음을 보여왔다(Shi et al., 2023; Lai &amp; Nissim, 2024). SeaEval 역시 의미적으로 등가인 다국어 입력에서 일관성이 중요한 평가 차원임을 강조한다(Wang et al., 2024). 본 연구의 결과는 이러한 문제의식을 최신 상용 동일 패밀리 모델에 적용했다는 점에서 의미가 있다. 다만 본 데이터에서는 언어 간 차이가 대규모 성능 차이보다는 소수의 오류 회복·과잉추론 사례로 나타났다.</w:t>
      </w:r>
    </w:p>
    <w:p>
      <w:pPr>
        <w:pStyle w:val="Heading2"/>
        <w:keepNext/>
      </w:pPr>
      <w:r>
        <w:rPr>
          <w:rFonts w:ascii="Noto Sans CJK KR" w:hAnsi="Noto Sans CJK KR" w:eastAsia="Noto Sans CJK KR"/>
          <w:sz w:val="24"/>
        </w:rPr>
        <w:t>8.4 Implications for Benchmark Design</w:t>
      </w:r>
    </w:p>
    <w:p>
      <w:r>
        <w:rPr>
          <w:rFonts w:ascii="Noto Serif CJK KR" w:hAnsi="Noto Serif CJK KR" w:eastAsia="Noto Serif CJK KR"/>
          <w:sz w:val="21"/>
        </w:rPr>
        <w:t>P2-Bench v1.0의 98.3% 만점률은 현재 문항 집합이 기본적인 수학·논리·과학·오류 탐지 능력을 확인하는 데는 충분하지만, 최신 상용 고성능 모델의 미세한 차이를 분리하기에는 난도가 낮다는 점을 보여준다. 이는 MMLU-Pro, LiveBench, GPQA가 더 어려운 문항과 오염·채점 문제를 고려해 변별력을 높이려 한 최근 평가 흐름과 일치한다. 따라서 P2-Bench v2에서는 단순히 문항 수를 늘리기보다, 조건 간 미세 충돌, 정보 불충분, 유혹적인 오답 근거, 다단계 제약, 장거리 의존, 설명-정답 불일치와 같이 reasoning process를 교란하는 문항을 체계적으로 추가할 필요가 있다.</w:t>
      </w:r>
    </w:p>
    <w:p>
      <w:r>
        <w:rPr>
          <w:rFonts w:ascii="Noto Serif CJK KR" w:hAnsi="Noto Serif CJK KR" w:eastAsia="Noto Serif CJK KR"/>
          <w:sz w:val="21"/>
        </w:rPr>
        <w:t>또한 ceiling 상황에서는 연속 점수의 평균 차이보다 문항별 discordance와 오류 전이(error transition)가 더 직접적인 정보를 제공할 수 있다. 예컨대 동일 문항의 KR/EN에서 최종 답은 같더라도 한 조건에서만 초기 오류 후 자기수정이 나타나는 경우, 이를 “동일 성능”으로 처리하면 추론 안정성 차이가 소실된다. 후속 버전에서는 최종답, 중간 추론 오류, 자기수정, 정보충분성 판단을 분리한 다층 평가를 강화하는 것이 바람직하다.</w:t>
      </w:r>
    </w:p>
    <w:p>
      <w:pPr>
        <w:pStyle w:val="Heading1"/>
        <w:keepNext/>
      </w:pPr>
      <w:r>
        <w:rPr>
          <w:rFonts w:ascii="Noto Sans CJK KR" w:hAnsi="Noto Sans CJK KR" w:eastAsia="Noto Sans CJK KR"/>
          <w:sz w:val="28"/>
        </w:rPr>
        <w:t>9. Limitations</w:t>
      </w:r>
    </w:p>
    <w:p>
      <w:pPr>
        <w:spacing w:line="348" w:lineRule="auto" w:after="100"/>
        <w:ind w:firstLine="397"/>
        <w:jc w:val="both"/>
      </w:pPr>
      <w:r>
        <w:rPr>
          <w:rFonts w:ascii="Noto Serif CJK KR" w:hAnsi="Noto Serif CJK KR" w:eastAsia="Noto Serif CJK KR"/>
          <w:sz w:val="21"/>
        </w:rPr>
        <w:t>첫째, 본 연구는 단일 공급자의 Claude 5.5 패밀리에 국한되므로 결과를 LLM 일반에 직접 일반화할 수 없다. 둘째, 문항 수는 60개이며 영역별 15개로 제한되어 있다. 셋째, 전체 응답의 98.3%가 만점이어서 통계적 검정력이 낮고 평균 차이 기반 분석의 해석 범위가 제한된다. 넷째, R2 QC는 동일 평가자의 intra-rater audit이며 독립 평가자 간 신뢰도(inter-rater reliability)를 측정하지 않았다. 다섯째, Exact_Model_Version과 Execution_Date가 미기록이어서 세부 모델 snapshot과 실행 시점을 완전히 재현할 수 없다. 여섯째, KR/EN 대응 문항은 paired comparison을 위해 고정되었지만, 번역·표현 차이가 난이도에 미치는 영향을 별도의 인간 번역 품질 평정으로 검증하지 않았다. Plaza et al.(2024)이 지적하듯 다국어 벤치마크에서는 번역 품질이 모델 성능과 혼재될 수 있다. 일곱째, 비공개 상용 모델의 학습 데이터에 P2-Bench와 유사한 문항 또는 일반적 문제 유형이 포함되었는지 확인할 수 없으므로 데이터 오염 가능성을 완전히 배제할 수 없다.</w:t>
      </w:r>
    </w:p>
    <w:p>
      <w:pPr>
        <w:pStyle w:val="Heading1"/>
        <w:keepNext/>
      </w:pPr>
      <w:r>
        <w:rPr>
          <w:rFonts w:ascii="Noto Sans CJK KR" w:hAnsi="Noto Sans CJK KR" w:eastAsia="Noto Sans CJK KR"/>
          <w:sz w:val="28"/>
        </w:rPr>
        <w:t>10. Conclusion</w:t>
      </w:r>
    </w:p>
    <w:p>
      <w:pPr>
        <w:spacing w:line="348" w:lineRule="auto" w:after="100"/>
        <w:ind w:firstLine="397"/>
        <w:jc w:val="both"/>
      </w:pPr>
      <w:r>
        <w:rPr>
          <w:rFonts w:ascii="Noto Serif CJK KR" w:hAnsi="Noto Serif CJK KR" w:eastAsia="Noto Serif CJK KR"/>
          <w:i w:val="0"/>
          <w:sz w:val="21"/>
        </w:rPr>
        <w:t>P2-Bench를 이용해 Claude Opus 5.5와 Claude Sonnet 5.5의 한국어·영어 추론을 비교한 결과, 두 모델 모두 매우 높은 성능을 보였으며 전체의 98.3%가 만점이었다. Opus에서는 언어 간 차이가 관찰되지 않았고, Sonnet에서는 영어 조건의 네 문항에서만 소폭 감점이 발생했다. paired 분석에서 Sonnet KR-EN 및 Opus-Sonnet EN의 평균차는 0.183점, exact sign test p=0.125, d_z≈0.245로 나타났으나 ceiling effect와 비영 차이의 희소성 때문에 강한 모델 또는 언어 효과를 주장하기 어렵다.</w:t>
      </w:r>
    </w:p>
    <w:p>
      <w:pPr>
        <w:spacing w:line="348" w:lineRule="auto" w:after="100"/>
        <w:ind w:firstLine="397"/>
        <w:jc w:val="both"/>
      </w:pPr>
      <w:r>
        <w:rPr>
          <w:rFonts w:ascii="Noto Serif CJK KR" w:hAnsi="Noto Serif CJK KR" w:eastAsia="Noto Serif CJK KR"/>
          <w:sz w:val="21"/>
        </w:rPr>
        <w:t>본 연구의 핵심 기여는 최신 고성능 모델에서 평균 성능 차이보다 실패의 형태와 회복 패턴을 분석하는 것이 중요하다는 점을 보여준 데 있다. 자기수정이 가능한 transient logical/condition errors, 정보불충분 상황에서의 과잉추론, 설명 내부의 국소적 모순은 최종 정답률만으로는 드러나지 않는다. 동시에 98.3%의 만점률은 P2-Bench v1.0의 변별력 한계를 경험적으로 드러냈다. 후속 연구에서는 더 높은 난이도와 미세한 조건 충돌을 포함한 P2-Bench v2를 구성하고, 독립 평가자 신뢰도와 더 다양한 모델 패밀리를 추가하여 언어별 추론 안정성과 실패 양상을 재검증해야 한다.</w:t>
      </w:r>
    </w:p>
    <w:p>
      <w:pPr>
        <w:pStyle w:val="Heading1"/>
        <w:keepNext/>
      </w:pPr>
      <w:r>
        <w:rPr>
          <w:rFonts w:ascii="Noto Sans CJK KR" w:hAnsi="Noto Sans CJK KR" w:eastAsia="Noto Sans CJK KR"/>
          <w:sz w:val="28"/>
        </w:rPr>
        <w:t>11. References</w:t>
      </w:r>
    </w:p>
    <w:p>
      <w:pPr>
        <w:spacing w:after="80" w:line="264" w:lineRule="auto"/>
        <w:ind w:left="397" w:hanging="397"/>
        <w:jc w:val="left"/>
      </w:pPr>
      <w:r>
        <w:rPr>
          <w:rFonts w:ascii="Noto Serif CJK KR" w:hAnsi="Noto Serif CJK KR" w:eastAsia="Noto Serif CJK KR"/>
          <w:sz w:val="18"/>
        </w:rPr>
        <w:t>Anthropic. (2026a). Introducing Claude Opus 5.5. September 22, 2026. https://www.anthropic.com/claude-opus-5-5</w:t>
      </w:r>
    </w:p>
    <w:p>
      <w:pPr>
        <w:spacing w:after="80" w:line="264" w:lineRule="auto"/>
        <w:ind w:left="397" w:hanging="397"/>
        <w:jc w:val="left"/>
      </w:pPr>
      <w:r>
        <w:rPr>
          <w:rFonts w:ascii="Noto Serif CJK KR" w:hAnsi="Noto Serif CJK KR" w:eastAsia="Noto Serif CJK KR"/>
          <w:sz w:val="18"/>
        </w:rPr>
        <w:t>Anthropic. (2026b). Introducing Claude Sonnet 5.5. September 28, 2026. https://www.anthropic.com/claude-sonnet-5-5</w:t>
      </w:r>
    </w:p>
    <w:p>
      <w:pPr>
        <w:spacing w:after="80" w:line="264" w:lineRule="auto"/>
        <w:ind w:left="397" w:hanging="397"/>
        <w:jc w:val="left"/>
      </w:pPr>
      <w:r>
        <w:rPr>
          <w:rFonts w:ascii="Noto Serif CJK KR" w:hAnsi="Noto Serif CJK KR" w:eastAsia="Noto Serif CJK KR"/>
          <w:sz w:val="18"/>
        </w:rPr>
        <w:t>Anthropic. (2026c). Anthropic’s Transparency Hub: Claude model summaries. https://www.anthropic.com/transparency</w:t>
      </w:r>
    </w:p>
    <w:p>
      <w:pPr>
        <w:spacing w:after="80" w:line="264" w:lineRule="auto"/>
        <w:ind w:left="397" w:hanging="397"/>
        <w:jc w:val="left"/>
      </w:pPr>
      <w:r>
        <w:rPr>
          <w:rFonts w:ascii="Noto Serif CJK KR" w:hAnsi="Noto Serif CJK KR" w:eastAsia="Noto Serif CJK KR"/>
          <w:sz w:val="18"/>
        </w:rPr>
        <w:t>Lai, H., &amp; Nissim, M. (2024). mCoT: Multilingual Instruction Tuning for Reasoning Consistency in Language Models. Proceedings of the 62nd Annual Meeting of the Association for Computational Linguistics (Volume 1: Long Papers), 12012–12026. https://doi.org/10.18653/v1/2024.acl-long.649</w:t>
      </w:r>
    </w:p>
    <w:p>
      <w:pPr>
        <w:spacing w:after="80" w:line="264" w:lineRule="auto"/>
        <w:ind w:left="397" w:hanging="397"/>
        <w:jc w:val="left"/>
      </w:pPr>
      <w:r>
        <w:rPr>
          <w:rFonts w:ascii="Noto Serif CJK KR" w:hAnsi="Noto Serif CJK KR" w:eastAsia="Noto Serif CJK KR"/>
          <w:sz w:val="18"/>
        </w:rPr>
        <w:t>Plaza, I., Melero, N., del Pozo, C., Conde, J., Reviriego, P., Mayor-Rocher, M., &amp; Grandury, M. (2024). Spanish and LLM Benchmarks: is MMLU Lost in Translation? arXiv:2406.17789. https://arxiv.org/abs/2406.17789</w:t>
      </w:r>
    </w:p>
    <w:p>
      <w:pPr>
        <w:spacing w:after="80" w:line="264" w:lineRule="auto"/>
        <w:ind w:left="397" w:hanging="397"/>
        <w:jc w:val="left"/>
      </w:pPr>
      <w:r>
        <w:rPr>
          <w:rFonts w:ascii="Noto Serif CJK KR" w:hAnsi="Noto Serif CJK KR" w:eastAsia="Noto Serif CJK KR"/>
          <w:sz w:val="18"/>
        </w:rPr>
        <w:t>Rein, D., Hou, B. L., Stickland, A. C., Petty, J., Pang, R. Y., Dirani, J., Michael, J., &amp; Bowman, S. R. (2023). GPQA: A Graduate-Level Google-Proof Q&amp;A Benchmark. arXiv:2311.12022. https://arxiv.org/abs/2311.12022</w:t>
      </w:r>
    </w:p>
    <w:p>
      <w:pPr>
        <w:spacing w:after="80" w:line="264" w:lineRule="auto"/>
        <w:ind w:left="397" w:hanging="397"/>
        <w:jc w:val="left"/>
      </w:pPr>
      <w:r>
        <w:rPr>
          <w:rFonts w:ascii="Noto Serif CJK KR" w:hAnsi="Noto Serif CJK KR" w:eastAsia="Noto Serif CJK KR"/>
          <w:sz w:val="18"/>
        </w:rPr>
        <w:t>Shi, F., Suzgun, M., Freitag, M., Wang, X., Srivats, S., Vosoughi, S., Chung, H. W., Tay, Y., Ruder, S., Zhou, D., Das, D., &amp; Wei, J. (2023). Language Models Are Multilingual Chain-of-Thought Reasoners. International Conference on Learning Representations (ICLR 2023). https://arxiv.org/abs/2210.03057</w:t>
      </w:r>
    </w:p>
    <w:p>
      <w:pPr>
        <w:spacing w:after="80" w:line="264" w:lineRule="auto"/>
        <w:ind w:left="397" w:hanging="397"/>
        <w:jc w:val="left"/>
      </w:pPr>
      <w:r>
        <w:rPr>
          <w:rFonts w:ascii="Noto Serif CJK KR" w:hAnsi="Noto Serif CJK KR" w:eastAsia="Noto Serif CJK KR"/>
          <w:sz w:val="18"/>
        </w:rPr>
        <w:t>Wang, B., Liu, Z., Huang, X., Jiao, F., Ding, Y., Aw, A. T., &amp; Chen, N. F. (2024a). SeaEval for Multilingual Foundation Models: From Cross-Lingual Alignment to Cultural Reasoning. Proceedings of NAACL 2024, 370–390. https://doi.org/10.18653/v1/2024.naacl-long.22</w:t>
      </w:r>
    </w:p>
    <w:p>
      <w:pPr>
        <w:spacing w:after="80" w:line="264" w:lineRule="auto"/>
        <w:ind w:left="397" w:hanging="397"/>
        <w:jc w:val="left"/>
      </w:pPr>
      <w:r>
        <w:rPr>
          <w:rFonts w:ascii="Noto Serif CJK KR" w:hAnsi="Noto Serif CJK KR" w:eastAsia="Noto Serif CJK KR"/>
          <w:sz w:val="18"/>
        </w:rPr>
        <w:t>Wang, Y., Ma, X., Zhang, G., Ni, Y., Chandra, A., Guo, S., Ren, W., Arulraj, A., He, X., Jiang, Z., Li, T., Ku, M., Wang, K., Zhuang, A., Fan, R., Yue, X., &amp; Chen, W. (2024b). MMLU-Pro: A More Robust and Challenging Multi-Task Language Understanding Benchmark. arXiv:2406.01574. https://arxiv.org/abs/2406.01574</w:t>
      </w:r>
    </w:p>
    <w:p>
      <w:pPr>
        <w:spacing w:after="80" w:line="264" w:lineRule="auto"/>
        <w:ind w:left="397" w:hanging="397"/>
        <w:jc w:val="left"/>
      </w:pPr>
      <w:r>
        <w:rPr>
          <w:rFonts w:ascii="Noto Serif CJK KR" w:hAnsi="Noto Serif CJK KR" w:eastAsia="Noto Serif CJK KR"/>
          <w:sz w:val="18"/>
        </w:rPr>
        <w:t>White, C., Dooley, S., Roberts, M., Pal, A., Feuer, B., Jain, S., Shwartz-Ziv, R., Jain, N., Saifullah, K., Naidu, S., Hegde, C., LeCun, Y., Goldstein, T., Neiswanger, W., &amp; Goldblum, M. (2024). LiveBench: A Challenging, Contamination-Free LLM Benchmark. arXiv:2406.19314. https://arxiv.org/abs/2406.19314</w:t>
      </w:r>
    </w:p>
    <w:p>
      <w:pPr>
        <w:spacing w:after="80" w:line="264" w:lineRule="auto"/>
        <w:ind w:left="397" w:hanging="397"/>
        <w:jc w:val="left"/>
      </w:pPr>
      <w:r>
        <w:rPr>
          <w:rFonts w:ascii="Noto Serif CJK KR" w:hAnsi="Noto Serif CJK KR" w:eastAsia="Noto Serif CJK KR"/>
          <w:sz w:val="18"/>
        </w:rPr>
        <w:t>Zhao, R., Liu, Y., Schütze, H., &amp; Hedderich, M. A. (2025). A Comprehensive Evaluation of Multilingual Chain-of-Thought Reasoning: Performance, Consistency, and Faithfulness Across Languages. arXiv:2510.09555. https://arxiv.org/abs/2510.09555</w:t>
      </w:r>
    </w:p>
    <w:p>
      <w:pPr>
        <w:pStyle w:val="Heading1"/>
        <w:keepNext/>
      </w:pPr>
      <w:r>
        <w:rPr>
          <w:rFonts w:ascii="Noto Sans CJK KR" w:hAnsi="Noto Sans CJK KR" w:eastAsia="Noto Sans CJK KR"/>
          <w:sz w:val="28"/>
        </w:rPr>
        <w:t>12. Appendix</w:t>
      </w:r>
    </w:p>
    <w:p>
      <w:pPr>
        <w:pStyle w:val="Heading2"/>
        <w:keepNext/>
      </w:pPr>
      <w:r>
        <w:rPr>
          <w:rFonts w:ascii="Noto Sans CJK KR" w:hAnsi="Noto Sans CJK KR" w:eastAsia="Noto Sans CJK KR"/>
          <w:sz w:val="24"/>
        </w:rPr>
        <w:t>Appendix A. Main Experiment Structure</w:t>
      </w:r>
    </w:p>
    <w:p>
      <w:pPr>
        <w:keepNext/>
        <w:jc w:val="center"/>
      </w:pPr>
      <w:r>
        <w:rPr>
          <w:rFonts w:ascii="Noto Sans CJK KR" w:hAnsi="Noto Sans CJK KR" w:eastAsia="Noto Sans CJK KR"/>
          <w:b/>
          <w:sz w:val="19"/>
        </w:rPr>
        <w:t>표 A1. Claude-only 본실험 응답 구성</w:t>
      </w:r>
    </w:p>
    <w:tbl>
      <w:tblPr>
        <w:tblStyle w:val="TableGrid"/>
        <w:tblW w:type="auto" w:w="0"/>
        <w:jc w:val="center"/>
        <w:tblLook w:firstColumn="1" w:firstRow="1" w:lastColumn="0" w:lastRow="0" w:noHBand="0" w:noVBand="1" w:val="04A0"/>
      </w:tblPr>
      <w:tblGrid>
        <w:gridCol w:w="2379"/>
        <w:gridCol w:w="2379"/>
        <w:gridCol w:w="2379"/>
        <w:gridCol w:w="2379"/>
      </w:tblGrid>
      <w:tr>
        <w:trPr>
          <w:tblHeader w:val="true"/>
          <w:cantSplit/>
          <w:tblHeader w:val="true"/>
          <w:cantSplit/>
        </w:trPr>
        <w:tc>
          <w:tcPr>
            <w:tcW w:type="dxa" w:w="2835"/>
            <w:shd w:fill="D9EAF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sz w:val="17"/>
              </w:rPr>
              <w:t>모델</w:t>
            </w:r>
          </w:p>
        </w:tc>
        <w:tc>
          <w:tcPr>
            <w:tcW w:type="dxa" w:w="1701"/>
            <w:shd w:fill="D9EAF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sz w:val="17"/>
              </w:rPr>
              <w:t>KR</w:t>
            </w:r>
          </w:p>
        </w:tc>
        <w:tc>
          <w:tcPr>
            <w:tcW w:type="dxa" w:w="1701"/>
            <w:shd w:fill="D9EAF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sz w:val="17"/>
              </w:rPr>
              <w:t>EN</w:t>
            </w:r>
          </w:p>
        </w:tc>
        <w:tc>
          <w:tcPr>
            <w:tcW w:type="dxa" w:w="1701"/>
            <w:shd w:fill="D9EAF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sz w:val="17"/>
              </w:rPr>
              <w:t>합계</w:t>
            </w:r>
          </w:p>
        </w:tc>
      </w:tr>
      <w:tr>
        <w:trPr>
          <w:cantSplit/>
          <w:cantSplit/>
        </w:trPr>
        <w:tc>
          <w:tcPr>
            <w:tcW w:type="dxa" w:w="2835"/>
            <w:tcMar>
              <w:top w:w="80" w:type="dxa"/>
              <w:start w:w="80" w:type="dxa"/>
              <w:bottom w:w="80" w:type="dxa"/>
              <w:end w:w="80" w:type="dxa"/>
            </w:tcMar>
            <w:vAlign w:val="center"/>
          </w:tcPr>
          <w:p>
            <w:pPr>
              <w:spacing w:after="0" w:line="264" w:lineRule="auto"/>
              <w:jc w:val="left"/>
            </w:pPr>
            <w:r>
              <w:rPr>
                <w:rFonts w:ascii="Noto Sans CJK KR" w:hAnsi="Noto Sans CJK KR" w:eastAsia="Noto Sans CJK KR"/>
                <w:b w:val="0"/>
                <w:sz w:val="17"/>
              </w:rPr>
              <w:t>Claude Opus 5.5</w:t>
            </w:r>
          </w:p>
        </w:tc>
        <w:tc>
          <w:tcPr>
            <w:tcW w:type="dxa" w:w="1701"/>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60</w:t>
            </w:r>
          </w:p>
        </w:tc>
        <w:tc>
          <w:tcPr>
            <w:tcW w:type="dxa" w:w="1701"/>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60</w:t>
            </w:r>
          </w:p>
        </w:tc>
        <w:tc>
          <w:tcPr>
            <w:tcW w:type="dxa" w:w="1701"/>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120</w:t>
            </w:r>
          </w:p>
        </w:tc>
      </w:tr>
      <w:tr>
        <w:trPr>
          <w:cantSplit/>
          <w:cantSplit/>
        </w:trPr>
        <w:tc>
          <w:tcPr>
            <w:tcW w:type="dxa" w:w="2835"/>
            <w:tcMar>
              <w:top w:w="80" w:type="dxa"/>
              <w:start w:w="80" w:type="dxa"/>
              <w:bottom w:w="80" w:type="dxa"/>
              <w:end w:w="80" w:type="dxa"/>
            </w:tcMar>
            <w:vAlign w:val="center"/>
          </w:tcPr>
          <w:p>
            <w:pPr>
              <w:spacing w:after="0" w:line="264" w:lineRule="auto"/>
              <w:jc w:val="left"/>
            </w:pPr>
            <w:r>
              <w:rPr>
                <w:rFonts w:ascii="Noto Sans CJK KR" w:hAnsi="Noto Sans CJK KR" w:eastAsia="Noto Sans CJK KR"/>
                <w:b w:val="0"/>
                <w:sz w:val="17"/>
              </w:rPr>
              <w:t>Claude Sonnet 5.5</w:t>
            </w:r>
          </w:p>
        </w:tc>
        <w:tc>
          <w:tcPr>
            <w:tcW w:type="dxa" w:w="1701"/>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60</w:t>
            </w:r>
          </w:p>
        </w:tc>
        <w:tc>
          <w:tcPr>
            <w:tcW w:type="dxa" w:w="1701"/>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60</w:t>
            </w:r>
          </w:p>
        </w:tc>
        <w:tc>
          <w:tcPr>
            <w:tcW w:type="dxa" w:w="1701"/>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120</w:t>
            </w:r>
          </w:p>
        </w:tc>
      </w:tr>
      <w:tr>
        <w:trPr>
          <w:cantSplit/>
          <w:cantSplit/>
        </w:trPr>
        <w:tc>
          <w:tcPr>
            <w:tcW w:type="dxa" w:w="2835"/>
            <w:tcMar>
              <w:top w:w="80" w:type="dxa"/>
              <w:start w:w="80" w:type="dxa"/>
              <w:bottom w:w="80" w:type="dxa"/>
              <w:end w:w="80" w:type="dxa"/>
            </w:tcMar>
            <w:vAlign w:val="center"/>
          </w:tcPr>
          <w:p>
            <w:pPr>
              <w:spacing w:after="0" w:line="264" w:lineRule="auto"/>
              <w:jc w:val="left"/>
            </w:pPr>
            <w:r>
              <w:rPr>
                <w:rFonts w:ascii="Noto Sans CJK KR" w:hAnsi="Noto Sans CJK KR" w:eastAsia="Noto Sans CJK KR"/>
                <w:b w:val="0"/>
                <w:sz w:val="17"/>
              </w:rPr>
              <w:t>합계</w:t>
            </w:r>
          </w:p>
        </w:tc>
        <w:tc>
          <w:tcPr>
            <w:tcW w:type="dxa" w:w="1701"/>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120</w:t>
            </w:r>
          </w:p>
        </w:tc>
        <w:tc>
          <w:tcPr>
            <w:tcW w:type="dxa" w:w="1701"/>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120</w:t>
            </w:r>
          </w:p>
        </w:tc>
        <w:tc>
          <w:tcPr>
            <w:tcW w:type="dxa" w:w="1701"/>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240</w:t>
            </w:r>
          </w:p>
        </w:tc>
      </w:tr>
    </w:tbl>
    <w:p>
      <w:pPr>
        <w:spacing w:after="0" w:before="0"/>
      </w:pPr>
    </w:p>
    <w:p>
      <w:pPr>
        <w:pStyle w:val="Heading2"/>
        <w:keepNext/>
      </w:pPr>
      <w:r>
        <w:t>Appendix B. 실험 메타데이터 및 분석 이력</w:t>
      </w:r>
    </w:p>
    <w:p>
      <w:pPr>
        <w:keepNext/>
        <w:jc w:val="center"/>
      </w:pPr>
      <w:r>
        <w:rPr>
          <w:rFonts w:ascii="Noto Sans CJK KR" w:hAnsi="Noto Sans CJK KR" w:eastAsia="Noto Sans CJK KR"/>
          <w:b/>
          <w:sz w:val="19"/>
        </w:rPr>
        <w:t>표 A2. 분석 및 메타데이터 상태</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blHeader w:val="true"/>
          <w:cantSplit/>
        </w:trPr>
        <w:tc>
          <w:tcPr>
            <w:tcW w:type="dxa" w:w="2835"/>
            <w:shd w:fill="D9EAF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sz w:val="17"/>
              </w:rPr>
              <w:t>항목</w:t>
            </w:r>
          </w:p>
        </w:tc>
        <w:tc>
          <w:tcPr>
            <w:tcW w:type="dxa" w:w="2835"/>
            <w:shd w:fill="D9EAF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sz w:val="17"/>
              </w:rPr>
              <w:t>상태</w:t>
            </w:r>
          </w:p>
        </w:tc>
        <w:tc>
          <w:tcPr>
            <w:tcW w:type="dxa" w:w="4535"/>
            <w:shd w:fill="D9EAF7"/>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sz w:val="17"/>
              </w:rPr>
              <w:t>처리</w:t>
            </w:r>
          </w:p>
        </w:tc>
      </w:tr>
      <w:tr>
        <w:trPr>
          <w:cantSplit/>
          <w:cantSplit/>
        </w:trPr>
        <w:tc>
          <w:tcPr>
            <w:tcW w:type="dxa" w:w="2835"/>
            <w:tcMar>
              <w:top w:w="80" w:type="dxa"/>
              <w:start w:w="80" w:type="dxa"/>
              <w:bottom w:w="80" w:type="dxa"/>
              <w:end w:w="80" w:type="dxa"/>
            </w:tcMar>
            <w:vAlign w:val="center"/>
          </w:tcPr>
          <w:p>
            <w:pPr>
              <w:spacing w:after="0" w:line="264" w:lineRule="auto"/>
              <w:jc w:val="left"/>
            </w:pPr>
            <w:r>
              <w:rPr>
                <w:rFonts w:ascii="Noto Sans CJK KR" w:hAnsi="Noto Sans CJK KR" w:eastAsia="Noto Sans CJK KR"/>
                <w:b w:val="0"/>
                <w:sz w:val="17"/>
              </w:rPr>
              <w:t>Raw Response</w:t>
            </w:r>
          </w:p>
        </w:tc>
        <w:tc>
          <w:tcPr>
            <w:tcW w:type="dxa" w:w="2835"/>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240/240 존재</w:t>
            </w:r>
          </w:p>
        </w:tc>
        <w:tc>
          <w:tcPr>
            <w:tcW w:type="dxa" w:w="4535"/>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본 분석에 사용</w:t>
            </w:r>
          </w:p>
        </w:tc>
      </w:tr>
      <w:tr>
        <w:trPr>
          <w:cantSplit/>
          <w:cantSplit/>
        </w:trPr>
        <w:tc>
          <w:tcPr>
            <w:tcW w:type="dxa" w:w="2835"/>
            <w:tcMar>
              <w:top w:w="80" w:type="dxa"/>
              <w:start w:w="80" w:type="dxa"/>
              <w:bottom w:w="80" w:type="dxa"/>
              <w:end w:w="80" w:type="dxa"/>
            </w:tcMar>
            <w:vAlign w:val="center"/>
          </w:tcPr>
          <w:p>
            <w:pPr>
              <w:spacing w:after="0" w:line="264" w:lineRule="auto"/>
              <w:jc w:val="left"/>
            </w:pPr>
            <w:r>
              <w:rPr>
                <w:rFonts w:ascii="Noto Sans CJK KR" w:hAnsi="Noto Sans CJK KR" w:eastAsia="Noto Sans CJK KR"/>
                <w:b w:val="0"/>
                <w:sz w:val="17"/>
              </w:rPr>
              <w:t>R2 QC</w:t>
            </w:r>
          </w:p>
        </w:tc>
        <w:tc>
          <w:tcPr>
            <w:tcW w:type="dxa" w:w="2835"/>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완료</w:t>
            </w:r>
          </w:p>
        </w:tc>
        <w:tc>
          <w:tcPr>
            <w:tcW w:type="dxa" w:w="4535"/>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38개 Run 재검토, 1개 추가 조정</w:t>
            </w:r>
          </w:p>
        </w:tc>
      </w:tr>
      <w:tr>
        <w:trPr>
          <w:cantSplit/>
          <w:cantSplit/>
        </w:trPr>
        <w:tc>
          <w:tcPr>
            <w:tcW w:type="dxa" w:w="2835"/>
            <w:tcMar>
              <w:top w:w="80" w:type="dxa"/>
              <w:start w:w="80" w:type="dxa"/>
              <w:bottom w:w="80" w:type="dxa"/>
              <w:end w:w="80" w:type="dxa"/>
            </w:tcMar>
            <w:vAlign w:val="center"/>
          </w:tcPr>
          <w:p>
            <w:pPr>
              <w:spacing w:after="0" w:line="264" w:lineRule="auto"/>
              <w:jc w:val="left"/>
            </w:pPr>
            <w:r>
              <w:rPr>
                <w:rFonts w:ascii="Noto Sans CJK KR" w:hAnsi="Noto Sans CJK KR" w:eastAsia="Noto Sans CJK KR"/>
                <w:b w:val="0"/>
                <w:sz w:val="17"/>
              </w:rPr>
              <w:t>Exact_Model_Version</w:t>
            </w:r>
          </w:p>
        </w:tc>
        <w:tc>
          <w:tcPr>
            <w:tcW w:type="dxa" w:w="2835"/>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240/240 미기록</w:t>
            </w:r>
          </w:p>
        </w:tc>
        <w:tc>
          <w:tcPr>
            <w:tcW w:type="dxa" w:w="4535"/>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추정하지 않고 Pending 유지</w:t>
            </w:r>
          </w:p>
        </w:tc>
      </w:tr>
      <w:tr>
        <w:trPr>
          <w:cantSplit/>
          <w:cantSplit/>
        </w:trPr>
        <w:tc>
          <w:tcPr>
            <w:tcW w:type="dxa" w:w="2835"/>
            <w:tcMar>
              <w:top w:w="80" w:type="dxa"/>
              <w:start w:w="80" w:type="dxa"/>
              <w:bottom w:w="80" w:type="dxa"/>
              <w:end w:w="80" w:type="dxa"/>
            </w:tcMar>
            <w:vAlign w:val="center"/>
          </w:tcPr>
          <w:p>
            <w:pPr>
              <w:spacing w:after="0" w:line="264" w:lineRule="auto"/>
              <w:jc w:val="left"/>
            </w:pPr>
            <w:r>
              <w:rPr>
                <w:rFonts w:ascii="Noto Sans CJK KR" w:hAnsi="Noto Sans CJK KR" w:eastAsia="Noto Sans CJK KR"/>
                <w:b w:val="0"/>
                <w:sz w:val="17"/>
              </w:rPr>
              <w:t>Execution_Date</w:t>
            </w:r>
          </w:p>
        </w:tc>
        <w:tc>
          <w:tcPr>
            <w:tcW w:type="dxa" w:w="2835"/>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240/240 미기록</w:t>
            </w:r>
          </w:p>
        </w:tc>
        <w:tc>
          <w:tcPr>
            <w:tcW w:type="dxa" w:w="4535"/>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추정하지 않고 Pending 유지</w:t>
            </w:r>
          </w:p>
        </w:tc>
      </w:tr>
      <w:tr>
        <w:trPr>
          <w:cantSplit/>
          <w:cantSplit/>
        </w:trPr>
        <w:tc>
          <w:tcPr>
            <w:tcW w:type="dxa" w:w="2835"/>
            <w:tcMar>
              <w:top w:w="80" w:type="dxa"/>
              <w:start w:w="80" w:type="dxa"/>
              <w:bottom w:w="80" w:type="dxa"/>
              <w:end w:w="80" w:type="dxa"/>
            </w:tcMar>
            <w:vAlign w:val="center"/>
          </w:tcPr>
          <w:p>
            <w:pPr>
              <w:spacing w:after="0" w:line="264" w:lineRule="auto"/>
              <w:jc w:val="left"/>
            </w:pPr>
            <w:r>
              <w:rPr>
                <w:rFonts w:ascii="Noto Sans CJK KR" w:hAnsi="Noto Sans CJK KR" w:eastAsia="Noto Sans CJK KR"/>
                <w:b w:val="0"/>
                <w:sz w:val="17"/>
              </w:rPr>
              <w:t>독립 2차 평가자</w:t>
            </w:r>
          </w:p>
        </w:tc>
        <w:tc>
          <w:tcPr>
            <w:tcW w:type="dxa" w:w="2835"/>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미실시</w:t>
            </w:r>
          </w:p>
        </w:tc>
        <w:tc>
          <w:tcPr>
            <w:tcW w:type="dxa" w:w="4535"/>
            <w:tcMar>
              <w:top w:w="80" w:type="dxa"/>
              <w:start w:w="80" w:type="dxa"/>
              <w:bottom w:w="80" w:type="dxa"/>
              <w:end w:w="80" w:type="dxa"/>
            </w:tcMar>
            <w:vAlign w:val="center"/>
          </w:tcPr>
          <w:p>
            <w:pPr>
              <w:spacing w:after="0" w:line="264" w:lineRule="auto"/>
              <w:jc w:val="center"/>
            </w:pPr>
            <w:r>
              <w:rPr>
                <w:rFonts w:ascii="Noto Sans CJK KR" w:hAnsi="Noto Sans CJK KR" w:eastAsia="Noto Sans CJK KR"/>
                <w:b w:val="0"/>
                <w:sz w:val="17"/>
              </w:rPr>
              <w:t>향후 신뢰도 검증 과제</w:t>
            </w:r>
          </w:p>
        </w:tc>
      </w:tr>
    </w:tbl>
    <w:p>
      <w:pPr>
        <w:spacing w:after="0" w:before="0"/>
      </w:pPr>
    </w:p>
    <w:p>
      <w:pPr>
        <w:pStyle w:val="Heading2"/>
        <w:keepNext/>
      </w:pPr>
      <w:r>
        <w:rPr>
          <w:rFonts w:ascii="Noto Sans CJK KR" w:hAnsi="Noto Sans CJK KR" w:eastAsia="Noto Sans CJK KR"/>
          <w:sz w:val="24"/>
        </w:rPr>
        <w:t>Appendix C. 출처 및 자료 이력</w:t>
      </w:r>
    </w:p>
    <w:p>
      <w:pPr>
        <w:keepNext/>
        <w:jc w:val="center"/>
      </w:pPr>
      <w:r>
        <w:rPr>
          <w:rFonts w:ascii="Noto Sans CJK KR" w:hAnsi="Noto Sans CJK KR" w:eastAsia="Noto Sans CJK KR"/>
          <w:b/>
          <w:sz w:val="19"/>
        </w:rPr>
        <w:t>표 A3. 연구 자료 및 외부 문헌 출처 이력</w:t>
      </w:r>
    </w:p>
    <w:tbl>
      <w:tblPr>
        <w:tblStyle w:val="TableGrid"/>
        <w:tblW w:type="auto" w:w="0"/>
        <w:jc w:val="center"/>
        <w:tblLook w:firstColumn="1" w:firstRow="1" w:lastColumn="0" w:lastRow="0" w:noHBand="0" w:noVBand="1" w:val="04A0"/>
      </w:tblPr>
      <w:tblGrid>
        <w:gridCol w:w="2379"/>
        <w:gridCol w:w="2379"/>
        <w:gridCol w:w="2379"/>
        <w:gridCol w:w="2379"/>
      </w:tblGrid>
      <w:tr>
        <w:trPr>
          <w:tblHeader w:val="true"/>
          <w:cantSplit/>
          <w:tblHeader w:val="true"/>
          <w:cantSplit/>
        </w:trPr>
        <w:tc>
          <w:tcPr>
            <w:tcW w:type="dxa" w:w="2551"/>
            <w:shd w:fill="D9EAF7"/>
            <w:tcMar>
              <w:top w:w="80" w:type="dxa"/>
              <w:start w:w="80" w:type="dxa"/>
              <w:bottom w:w="80" w:type="dxa"/>
              <w:end w:w="80" w:type="dxa"/>
            </w:tcMar>
            <w:vAlign w:val="center"/>
          </w:tcPr>
          <w:p>
            <w:pPr>
              <w:spacing w:after="0" w:line="240" w:lineRule="auto"/>
              <w:jc w:val="center"/>
            </w:pPr>
            <w:r>
              <w:rPr>
                <w:rFonts w:ascii="Noto Sans CJK KR" w:hAnsi="Noto Sans CJK KR" w:eastAsia="Noto Sans CJK KR"/>
                <w:b/>
                <w:sz w:val="15"/>
              </w:rPr>
              <w:t>출처</w:t>
            </w:r>
          </w:p>
        </w:tc>
        <w:tc>
          <w:tcPr>
            <w:tcW w:type="dxa" w:w="1417"/>
            <w:shd w:fill="D9EAF7"/>
            <w:tcMar>
              <w:top w:w="80" w:type="dxa"/>
              <w:start w:w="80" w:type="dxa"/>
              <w:bottom w:w="80" w:type="dxa"/>
              <w:end w:w="80" w:type="dxa"/>
            </w:tcMar>
            <w:vAlign w:val="center"/>
          </w:tcPr>
          <w:p>
            <w:pPr>
              <w:spacing w:after="0" w:line="240" w:lineRule="auto"/>
              <w:jc w:val="center"/>
            </w:pPr>
            <w:r>
              <w:rPr>
                <w:rFonts w:ascii="Noto Sans CJK KR" w:hAnsi="Noto Sans CJK KR" w:eastAsia="Noto Sans CJK KR"/>
                <w:b/>
                <w:sz w:val="15"/>
              </w:rPr>
              <w:t>연도/버전</w:t>
            </w:r>
          </w:p>
        </w:tc>
        <w:tc>
          <w:tcPr>
            <w:tcW w:type="dxa" w:w="3969"/>
            <w:shd w:fill="D9EAF7"/>
            <w:tcMar>
              <w:top w:w="80" w:type="dxa"/>
              <w:start w:w="80" w:type="dxa"/>
              <w:bottom w:w="80" w:type="dxa"/>
              <w:end w:w="80" w:type="dxa"/>
            </w:tcMar>
            <w:vAlign w:val="center"/>
          </w:tcPr>
          <w:p>
            <w:pPr>
              <w:spacing w:after="0" w:line="240" w:lineRule="auto"/>
              <w:jc w:val="center"/>
            </w:pPr>
            <w:r>
              <w:rPr>
                <w:rFonts w:ascii="Noto Sans CJK KR" w:hAnsi="Noto Sans CJK KR" w:eastAsia="Noto Sans CJK KR"/>
                <w:b/>
                <w:sz w:val="15"/>
              </w:rPr>
              <w:t>논문 내 사용 용도</w:t>
            </w:r>
          </w:p>
        </w:tc>
        <w:tc>
          <w:tcPr>
            <w:tcW w:type="dxa" w:w="3402"/>
            <w:shd w:fill="D9EAF7"/>
            <w:tcMar>
              <w:top w:w="80" w:type="dxa"/>
              <w:start w:w="80" w:type="dxa"/>
              <w:bottom w:w="80" w:type="dxa"/>
              <w:end w:w="80" w:type="dxa"/>
            </w:tcMar>
            <w:vAlign w:val="center"/>
          </w:tcPr>
          <w:p>
            <w:pPr>
              <w:spacing w:after="0" w:line="240" w:lineRule="auto"/>
              <w:jc w:val="center"/>
            </w:pPr>
            <w:r>
              <w:rPr>
                <w:rFonts w:ascii="Noto Sans CJK KR" w:hAnsi="Noto Sans CJK KR" w:eastAsia="Noto Sans CJK KR"/>
                <w:b/>
                <w:sz w:val="15"/>
              </w:rPr>
              <w:t>링크/파일</w:t>
            </w:r>
          </w:p>
        </w:tc>
      </w:tr>
      <w:tr>
        <w:trPr>
          <w:cantSplit/>
          <w:cantSplit/>
        </w:trPr>
        <w:tc>
          <w:tcPr>
            <w:tcW w:type="dxa" w:w="2551"/>
            <w:tcMar>
              <w:top w:w="80" w:type="dxa"/>
              <w:start w:w="80" w:type="dxa"/>
              <w:bottom w:w="80" w:type="dxa"/>
              <w:end w:w="80" w:type="dxa"/>
            </w:tcMar>
            <w:vAlign w:val="center"/>
          </w:tcPr>
          <w:p>
            <w:pPr>
              <w:spacing w:after="0" w:line="240" w:lineRule="auto"/>
              <w:jc w:val="left"/>
            </w:pPr>
            <w:r>
              <w:rPr>
                <w:rFonts w:ascii="Noto Sans CJK KR" w:hAnsi="Noto Sans CJK KR" w:eastAsia="Noto Sans CJK KR"/>
                <w:b w:val="0"/>
                <w:sz w:val="14"/>
              </w:rPr>
              <w:t>P2-Bench Master Dataset</w:t>
            </w:r>
          </w:p>
        </w:tc>
        <w:tc>
          <w:tcPr>
            <w:tcW w:type="dxa" w:w="1417"/>
            <w:tcMar>
              <w:top w:w="80" w:type="dxa"/>
              <w:start w:w="80" w:type="dxa"/>
              <w:bottom w:w="80" w:type="dxa"/>
              <w:end w:w="80" w:type="dxa"/>
            </w:tcMar>
            <w:vAlign w:val="center"/>
          </w:tcPr>
          <w:p>
            <w:pPr>
              <w:spacing w:after="0" w:line="240" w:lineRule="auto"/>
              <w:jc w:val="center"/>
            </w:pPr>
            <w:r>
              <w:rPr>
                <w:rFonts w:ascii="Noto Sans CJK KR" w:hAnsi="Noto Sans CJK KR" w:eastAsia="Noto Sans CJK KR"/>
                <w:b w:val="0"/>
                <w:sz w:val="14"/>
              </w:rPr>
              <w:t>v1.0</w:t>
            </w:r>
          </w:p>
        </w:tc>
        <w:tc>
          <w:tcPr>
            <w:tcW w:type="dxa" w:w="3969"/>
            <w:tcMar>
              <w:top w:w="80" w:type="dxa"/>
              <w:start w:w="80" w:type="dxa"/>
              <w:bottom w:w="80" w:type="dxa"/>
              <w:end w:w="80" w:type="dxa"/>
            </w:tcMar>
            <w:vAlign w:val="center"/>
          </w:tcPr>
          <w:p>
            <w:pPr>
              <w:spacing w:after="0" w:line="240" w:lineRule="auto"/>
              <w:jc w:val="center"/>
            </w:pPr>
            <w:r>
              <w:rPr>
                <w:rFonts w:ascii="Noto Sans CJK KR" w:hAnsi="Noto Sans CJK KR" w:eastAsia="Noto Sans CJK KR"/>
                <w:b w:val="0"/>
                <w:sz w:val="14"/>
              </w:rPr>
              <w:t>60문항 정답·해설·Evaluation Target 기준</w:t>
            </w:r>
          </w:p>
        </w:tc>
        <w:tc>
          <w:tcPr>
            <w:tcW w:type="dxa" w:w="3402"/>
            <w:tcMar>
              <w:top w:w="80" w:type="dxa"/>
              <w:start w:w="80" w:type="dxa"/>
              <w:bottom w:w="80" w:type="dxa"/>
              <w:end w:w="80" w:type="dxa"/>
            </w:tcMar>
            <w:vAlign w:val="center"/>
          </w:tcPr>
          <w:p>
            <w:pPr>
              <w:spacing w:after="0" w:line="240" w:lineRule="auto"/>
              <w:jc w:val="center"/>
            </w:pPr>
            <w:r>
              <w:rPr>
                <w:rFonts w:ascii="Noto Sans CJK KR" w:hAnsi="Noto Sans CJK KR" w:eastAsia="Noto Sans CJK KR"/>
                <w:b w:val="0"/>
                <w:sz w:val="14"/>
              </w:rPr>
              <w:t>P2-Bench_Master_Dataset_v1.0.docx / .json</w:t>
            </w:r>
          </w:p>
        </w:tc>
      </w:tr>
      <w:tr>
        <w:trPr>
          <w:cantSplit/>
          <w:cantSplit/>
        </w:trPr>
        <w:tc>
          <w:tcPr>
            <w:tcW w:type="dxa" w:w="2551"/>
            <w:tcMar>
              <w:top w:w="80" w:type="dxa"/>
              <w:start w:w="80" w:type="dxa"/>
              <w:bottom w:w="80" w:type="dxa"/>
              <w:end w:w="80" w:type="dxa"/>
            </w:tcMar>
            <w:vAlign w:val="center"/>
          </w:tcPr>
          <w:p>
            <w:pPr>
              <w:spacing w:after="0" w:line="240" w:lineRule="auto"/>
              <w:jc w:val="left"/>
            </w:pPr>
            <w:r>
              <w:rPr>
                <w:rFonts w:ascii="Noto Sans CJK KR" w:hAnsi="Noto Sans CJK KR" w:eastAsia="Noto Sans CJK KR"/>
                <w:b w:val="0"/>
                <w:sz w:val="14"/>
              </w:rPr>
              <w:t>P2-Bench Integrated Experiment Protocol</w:t>
            </w:r>
          </w:p>
        </w:tc>
        <w:tc>
          <w:tcPr>
            <w:tcW w:type="dxa" w:w="1417"/>
            <w:tcMar>
              <w:top w:w="80" w:type="dxa"/>
              <w:start w:w="80" w:type="dxa"/>
              <w:bottom w:w="80" w:type="dxa"/>
              <w:end w:w="80" w:type="dxa"/>
            </w:tcMar>
            <w:vAlign w:val="center"/>
          </w:tcPr>
          <w:p>
            <w:pPr>
              <w:spacing w:after="0" w:line="240" w:lineRule="auto"/>
              <w:jc w:val="center"/>
            </w:pPr>
            <w:r>
              <w:rPr>
                <w:rFonts w:ascii="Noto Sans CJK KR" w:hAnsi="Noto Sans CJK KR" w:eastAsia="Noto Sans CJK KR"/>
                <w:b w:val="0"/>
                <w:sz w:val="14"/>
              </w:rPr>
              <w:t>v1</w:t>
            </w:r>
          </w:p>
        </w:tc>
        <w:tc>
          <w:tcPr>
            <w:tcW w:type="dxa" w:w="3969"/>
            <w:tcMar>
              <w:top w:w="80" w:type="dxa"/>
              <w:start w:w="80" w:type="dxa"/>
              <w:bottom w:w="80" w:type="dxa"/>
              <w:end w:w="80" w:type="dxa"/>
            </w:tcMar>
            <w:vAlign w:val="center"/>
          </w:tcPr>
          <w:p>
            <w:pPr>
              <w:spacing w:after="0" w:line="240" w:lineRule="auto"/>
              <w:jc w:val="center"/>
            </w:pPr>
            <w:r>
              <w:rPr>
                <w:rFonts w:ascii="Noto Sans CJK KR" w:hAnsi="Noto Sans CJK KR" w:eastAsia="Noto Sans CJK KR"/>
                <w:b w:val="0"/>
                <w:sz w:val="14"/>
              </w:rPr>
              <w:t>실험·채점·QC 원칙</w:t>
            </w:r>
          </w:p>
        </w:tc>
        <w:tc>
          <w:tcPr>
            <w:tcW w:type="dxa" w:w="3402"/>
            <w:tcMar>
              <w:top w:w="80" w:type="dxa"/>
              <w:start w:w="80" w:type="dxa"/>
              <w:bottom w:w="80" w:type="dxa"/>
              <w:end w:w="80" w:type="dxa"/>
            </w:tcMar>
            <w:vAlign w:val="center"/>
          </w:tcPr>
          <w:p>
            <w:pPr>
              <w:spacing w:after="0" w:line="240" w:lineRule="auto"/>
              <w:jc w:val="center"/>
            </w:pPr>
            <w:r>
              <w:rPr>
                <w:rFonts w:ascii="Noto Sans CJK KR" w:hAnsi="Noto Sans CJK KR" w:eastAsia="Noto Sans CJK KR"/>
                <w:b w:val="0"/>
                <w:sz w:val="14"/>
              </w:rPr>
              <w:t>P2-Bench_Integrated_Experiment_Protocol_v1.docx</w:t>
            </w:r>
          </w:p>
        </w:tc>
      </w:tr>
      <w:tr>
        <w:trPr>
          <w:cantSplit/>
          <w:cantSplit/>
        </w:trPr>
        <w:tc>
          <w:tcPr>
            <w:tcW w:type="dxa" w:w="2551"/>
            <w:tcMar>
              <w:top w:w="80" w:type="dxa"/>
              <w:start w:w="80" w:type="dxa"/>
              <w:bottom w:w="80" w:type="dxa"/>
              <w:end w:w="80" w:type="dxa"/>
            </w:tcMar>
            <w:vAlign w:val="center"/>
          </w:tcPr>
          <w:p>
            <w:pPr>
              <w:spacing w:after="0" w:line="240" w:lineRule="auto"/>
              <w:jc w:val="left"/>
            </w:pPr>
            <w:r>
              <w:rPr>
                <w:rFonts w:ascii="Noto Sans CJK KR" w:hAnsi="Noto Sans CJK KR" w:eastAsia="Noto Sans CJK KR"/>
                <w:b w:val="0"/>
                <w:sz w:val="14"/>
              </w:rPr>
              <w:t>P2-Bench Claude-only Analysis</w:t>
            </w:r>
          </w:p>
        </w:tc>
        <w:tc>
          <w:tcPr>
            <w:tcW w:type="dxa" w:w="1417"/>
            <w:tcMar>
              <w:top w:w="80" w:type="dxa"/>
              <w:start w:w="80" w:type="dxa"/>
              <w:bottom w:w="80" w:type="dxa"/>
              <w:end w:w="80" w:type="dxa"/>
            </w:tcMar>
            <w:vAlign w:val="center"/>
          </w:tcPr>
          <w:p>
            <w:pPr>
              <w:spacing w:after="0" w:line="240" w:lineRule="auto"/>
              <w:jc w:val="center"/>
            </w:pPr>
            <w:r>
              <w:rPr>
                <w:rFonts w:ascii="Noto Sans CJK KR" w:hAnsi="Noto Sans CJK KR" w:eastAsia="Noto Sans CJK KR"/>
                <w:b w:val="0"/>
                <w:sz w:val="14"/>
              </w:rPr>
              <w:t>v2.2</w:t>
            </w:r>
          </w:p>
        </w:tc>
        <w:tc>
          <w:tcPr>
            <w:tcW w:type="dxa" w:w="3969"/>
            <w:tcMar>
              <w:top w:w="80" w:type="dxa"/>
              <w:start w:w="80" w:type="dxa"/>
              <w:bottom w:w="80" w:type="dxa"/>
              <w:end w:w="80" w:type="dxa"/>
            </w:tcMar>
            <w:vAlign w:val="center"/>
          </w:tcPr>
          <w:p>
            <w:pPr>
              <w:spacing w:after="0" w:line="240" w:lineRule="auto"/>
              <w:jc w:val="center"/>
            </w:pPr>
            <w:r>
              <w:rPr>
                <w:rFonts w:ascii="Noto Sans CJK KR" w:hAnsi="Noto Sans CJK KR" w:eastAsia="Noto Sans CJK KR"/>
                <w:b w:val="0"/>
                <w:sz w:val="14"/>
              </w:rPr>
              <w:t>R2 기술통계, paired analysis, ceiling effect</w:t>
            </w:r>
          </w:p>
        </w:tc>
        <w:tc>
          <w:tcPr>
            <w:tcW w:type="dxa" w:w="3402"/>
            <w:tcMar>
              <w:top w:w="80" w:type="dxa"/>
              <w:start w:w="80" w:type="dxa"/>
              <w:bottom w:w="80" w:type="dxa"/>
              <w:end w:w="80" w:type="dxa"/>
            </w:tcMar>
            <w:vAlign w:val="center"/>
          </w:tcPr>
          <w:p>
            <w:pPr>
              <w:spacing w:after="0" w:line="240" w:lineRule="auto"/>
              <w:jc w:val="center"/>
            </w:pPr>
            <w:r>
              <w:rPr>
                <w:rFonts w:ascii="Noto Sans CJK KR" w:hAnsi="Noto Sans CJK KR" w:eastAsia="Noto Sans CJK KR"/>
                <w:b w:val="0"/>
                <w:sz w:val="14"/>
              </w:rPr>
              <w:t>P2-Bench_Claude_Only_Analysis_v2.2.xlsx</w:t>
            </w:r>
          </w:p>
        </w:tc>
      </w:tr>
      <w:tr>
        <w:trPr>
          <w:cantSplit/>
          <w:cantSplit/>
        </w:trPr>
        <w:tc>
          <w:tcPr>
            <w:tcW w:type="dxa" w:w="2551"/>
            <w:tcMar>
              <w:top w:w="80" w:type="dxa"/>
              <w:start w:w="80" w:type="dxa"/>
              <w:bottom w:w="80" w:type="dxa"/>
              <w:end w:w="80" w:type="dxa"/>
            </w:tcMar>
            <w:vAlign w:val="center"/>
          </w:tcPr>
          <w:p>
            <w:pPr>
              <w:spacing w:after="0" w:line="240" w:lineRule="auto"/>
              <w:jc w:val="left"/>
            </w:pPr>
            <w:r>
              <w:rPr>
                <w:rFonts w:ascii="Noto Sans CJK KR" w:hAnsi="Noto Sans CJK KR" w:eastAsia="Noto Sans CJK KR"/>
                <w:b w:val="0"/>
                <w:sz w:val="14"/>
              </w:rPr>
              <w:t>Shi et al., MGSM</w:t>
            </w:r>
          </w:p>
        </w:tc>
        <w:tc>
          <w:tcPr>
            <w:tcW w:type="dxa" w:w="1417"/>
            <w:tcMar>
              <w:top w:w="80" w:type="dxa"/>
              <w:start w:w="80" w:type="dxa"/>
              <w:bottom w:w="80" w:type="dxa"/>
              <w:end w:w="80" w:type="dxa"/>
            </w:tcMar>
            <w:vAlign w:val="center"/>
          </w:tcPr>
          <w:p>
            <w:pPr>
              <w:jc w:val="center"/>
            </w:pPr>
            <w:r>
              <w:rPr>
                <w:rFonts w:ascii="Noto Sans CJK KR" w:hAnsi="Noto Sans CJK KR" w:eastAsia="Noto Sans CJK KR"/>
                <w:sz w:val="14"/>
              </w:rPr>
              <w:t>2023</w:t>
            </w:r>
          </w:p>
        </w:tc>
        <w:tc>
          <w:tcPr>
            <w:tcW w:type="dxa" w:w="3969"/>
            <w:tcMar>
              <w:top w:w="80" w:type="dxa"/>
              <w:start w:w="80" w:type="dxa"/>
              <w:bottom w:w="80" w:type="dxa"/>
              <w:end w:w="80" w:type="dxa"/>
            </w:tcMar>
            <w:vAlign w:val="center"/>
          </w:tcPr>
          <w:p>
            <w:pPr>
              <w:spacing w:after="0" w:line="240" w:lineRule="auto"/>
              <w:jc w:val="center"/>
            </w:pPr>
            <w:r>
              <w:rPr>
                <w:rFonts w:ascii="Noto Sans CJK KR" w:hAnsi="Noto Sans CJK KR" w:eastAsia="Noto Sans CJK KR"/>
                <w:b w:val="0"/>
                <w:sz w:val="14"/>
              </w:rPr>
              <w:t>다국어 추론 선행연구</w:t>
            </w:r>
          </w:p>
        </w:tc>
        <w:tc>
          <w:tcPr>
            <w:tcW w:type="dxa" w:w="3402"/>
            <w:tcMar>
              <w:top w:w="80" w:type="dxa"/>
              <w:start w:w="80" w:type="dxa"/>
              <w:bottom w:w="80" w:type="dxa"/>
              <w:end w:w="80" w:type="dxa"/>
            </w:tcMar>
            <w:vAlign w:val="center"/>
          </w:tcPr>
          <w:p>
            <w:pPr>
              <w:spacing w:after="0" w:line="240" w:lineRule="auto"/>
              <w:jc w:val="center"/>
            </w:pPr>
            <w:r>
              <w:rPr>
                <w:rFonts w:ascii="Noto Sans CJK KR" w:hAnsi="Noto Sans CJK KR" w:eastAsia="Noto Sans CJK KR"/>
                <w:b w:val="0"/>
                <w:sz w:val="14"/>
              </w:rPr>
              <w:t>https://arxiv.org/abs/2210.03057</w:t>
            </w:r>
          </w:p>
        </w:tc>
      </w:tr>
      <w:tr>
        <w:trPr>
          <w:cantSplit/>
          <w:cantSplit/>
        </w:trPr>
        <w:tc>
          <w:tcPr>
            <w:tcW w:type="dxa" w:w="2551"/>
            <w:tcMar>
              <w:top w:w="80" w:type="dxa"/>
              <w:start w:w="80" w:type="dxa"/>
              <w:bottom w:w="80" w:type="dxa"/>
              <w:end w:w="80" w:type="dxa"/>
            </w:tcMar>
            <w:vAlign w:val="center"/>
          </w:tcPr>
          <w:p>
            <w:pPr>
              <w:spacing w:after="0" w:line="240" w:lineRule="auto"/>
              <w:jc w:val="left"/>
            </w:pPr>
            <w:r>
              <w:rPr>
                <w:rFonts w:ascii="Noto Sans CJK KR" w:hAnsi="Noto Sans CJK KR" w:eastAsia="Noto Sans CJK KR"/>
                <w:b w:val="0"/>
                <w:sz w:val="14"/>
              </w:rPr>
              <w:t>Lai &amp; Nissim, mCoT</w:t>
            </w:r>
          </w:p>
        </w:tc>
        <w:tc>
          <w:tcPr>
            <w:tcW w:type="dxa" w:w="1417"/>
            <w:tcMar>
              <w:top w:w="80" w:type="dxa"/>
              <w:start w:w="80" w:type="dxa"/>
              <w:bottom w:w="80" w:type="dxa"/>
              <w:end w:w="80" w:type="dxa"/>
            </w:tcMar>
            <w:vAlign w:val="center"/>
          </w:tcPr>
          <w:p>
            <w:pPr>
              <w:spacing w:after="0" w:line="240" w:lineRule="auto"/>
              <w:jc w:val="center"/>
            </w:pPr>
            <w:r>
              <w:rPr>
                <w:rFonts w:ascii="Noto Sans CJK KR" w:hAnsi="Noto Sans CJK KR" w:eastAsia="Noto Sans CJK KR"/>
                <w:b w:val="0"/>
                <w:sz w:val="14"/>
              </w:rPr>
              <w:t>2024</w:t>
            </w:r>
          </w:p>
        </w:tc>
        <w:tc>
          <w:tcPr>
            <w:tcW w:type="dxa" w:w="3969"/>
            <w:tcMar>
              <w:top w:w="80" w:type="dxa"/>
              <w:start w:w="80" w:type="dxa"/>
              <w:bottom w:w="80" w:type="dxa"/>
              <w:end w:w="80" w:type="dxa"/>
            </w:tcMar>
            <w:vAlign w:val="center"/>
          </w:tcPr>
          <w:p>
            <w:pPr>
              <w:spacing w:after="0" w:line="240" w:lineRule="auto"/>
              <w:jc w:val="center"/>
            </w:pPr>
            <w:r>
              <w:rPr>
                <w:rFonts w:ascii="Noto Sans CJK KR" w:hAnsi="Noto Sans CJK KR" w:eastAsia="Noto Sans CJK KR"/>
                <w:b w:val="0"/>
                <w:sz w:val="14"/>
              </w:rPr>
              <w:t>다국어 추론 일관성 선행연구</w:t>
            </w:r>
          </w:p>
        </w:tc>
        <w:tc>
          <w:tcPr>
            <w:tcW w:type="dxa" w:w="3402"/>
            <w:tcMar>
              <w:top w:w="80" w:type="dxa"/>
              <w:start w:w="80" w:type="dxa"/>
              <w:bottom w:w="80" w:type="dxa"/>
              <w:end w:w="80" w:type="dxa"/>
            </w:tcMar>
            <w:vAlign w:val="center"/>
          </w:tcPr>
          <w:p>
            <w:pPr>
              <w:spacing w:after="0" w:line="240" w:lineRule="auto"/>
              <w:jc w:val="center"/>
            </w:pPr>
            <w:r>
              <w:rPr>
                <w:rFonts w:ascii="Noto Sans CJK KR" w:hAnsi="Noto Sans CJK KR" w:eastAsia="Noto Sans CJK KR"/>
                <w:b w:val="0"/>
                <w:sz w:val="14"/>
              </w:rPr>
              <w:t>https://doi.org/10.18653/v1/2024.acl-long.649</w:t>
            </w:r>
          </w:p>
        </w:tc>
      </w:tr>
      <w:tr>
        <w:trPr>
          <w:cantSplit/>
          <w:cantSplit/>
        </w:trPr>
        <w:tc>
          <w:tcPr>
            <w:tcW w:type="dxa" w:w="2551"/>
            <w:tcMar>
              <w:top w:w="80" w:type="dxa"/>
              <w:start w:w="80" w:type="dxa"/>
              <w:bottom w:w="80" w:type="dxa"/>
              <w:end w:w="80" w:type="dxa"/>
            </w:tcMar>
            <w:vAlign w:val="center"/>
          </w:tcPr>
          <w:p>
            <w:pPr>
              <w:spacing w:after="0" w:line="240" w:lineRule="auto"/>
              <w:jc w:val="left"/>
            </w:pPr>
            <w:r>
              <w:rPr>
                <w:rFonts w:ascii="Noto Sans CJK KR" w:hAnsi="Noto Sans CJK KR" w:eastAsia="Noto Sans CJK KR"/>
                <w:b w:val="0"/>
                <w:sz w:val="14"/>
              </w:rPr>
              <w:t>Wang et al., SeaEval</w:t>
            </w:r>
          </w:p>
        </w:tc>
        <w:tc>
          <w:tcPr>
            <w:tcW w:type="dxa" w:w="1417"/>
            <w:tcMar>
              <w:top w:w="80" w:type="dxa"/>
              <w:start w:w="80" w:type="dxa"/>
              <w:bottom w:w="80" w:type="dxa"/>
              <w:end w:w="80" w:type="dxa"/>
            </w:tcMar>
            <w:vAlign w:val="center"/>
          </w:tcPr>
          <w:p>
            <w:pPr>
              <w:spacing w:after="0" w:line="240" w:lineRule="auto"/>
              <w:jc w:val="center"/>
            </w:pPr>
            <w:r>
              <w:rPr>
                <w:rFonts w:ascii="Noto Sans CJK KR" w:hAnsi="Noto Sans CJK KR" w:eastAsia="Noto Sans CJK KR"/>
                <w:b w:val="0"/>
                <w:sz w:val="14"/>
              </w:rPr>
              <w:t>2024</w:t>
            </w:r>
          </w:p>
        </w:tc>
        <w:tc>
          <w:tcPr>
            <w:tcW w:type="dxa" w:w="3969"/>
            <w:tcMar>
              <w:top w:w="80" w:type="dxa"/>
              <w:start w:w="80" w:type="dxa"/>
              <w:bottom w:w="80" w:type="dxa"/>
              <w:end w:w="80" w:type="dxa"/>
            </w:tcMar>
            <w:vAlign w:val="center"/>
          </w:tcPr>
          <w:p>
            <w:pPr>
              <w:spacing w:after="0" w:line="240" w:lineRule="auto"/>
              <w:jc w:val="center"/>
            </w:pPr>
            <w:r>
              <w:rPr>
                <w:rFonts w:ascii="Noto Sans CJK KR" w:hAnsi="Noto Sans CJK KR" w:eastAsia="Noto Sans CJK KR"/>
                <w:b w:val="0"/>
                <w:sz w:val="14"/>
              </w:rPr>
              <w:t>다국어 brittleness 및 일관성</w:t>
            </w:r>
          </w:p>
        </w:tc>
        <w:tc>
          <w:tcPr>
            <w:tcW w:type="dxa" w:w="3402"/>
            <w:tcMar>
              <w:top w:w="80" w:type="dxa"/>
              <w:start w:w="80" w:type="dxa"/>
              <w:bottom w:w="80" w:type="dxa"/>
              <w:end w:w="80" w:type="dxa"/>
            </w:tcMar>
            <w:vAlign w:val="center"/>
          </w:tcPr>
          <w:p>
            <w:pPr>
              <w:spacing w:after="0" w:line="240" w:lineRule="auto"/>
              <w:jc w:val="center"/>
            </w:pPr>
            <w:r>
              <w:rPr>
                <w:rFonts w:ascii="Noto Sans CJK KR" w:hAnsi="Noto Sans CJK KR" w:eastAsia="Noto Sans CJK KR"/>
                <w:b w:val="0"/>
                <w:sz w:val="14"/>
              </w:rPr>
              <w:t>https://aclanthology.org/2024.naacl-long.22/</w:t>
            </w:r>
          </w:p>
        </w:tc>
      </w:tr>
      <w:tr>
        <w:trPr>
          <w:cantSplit/>
          <w:cantSplit/>
        </w:trPr>
        <w:tc>
          <w:tcPr>
            <w:tcW w:type="dxa" w:w="2551"/>
            <w:tcMar>
              <w:top w:w="80" w:type="dxa"/>
              <w:start w:w="80" w:type="dxa"/>
              <w:bottom w:w="80" w:type="dxa"/>
              <w:end w:w="80" w:type="dxa"/>
            </w:tcMar>
            <w:vAlign w:val="center"/>
          </w:tcPr>
          <w:p>
            <w:pPr>
              <w:spacing w:after="0" w:line="240" w:lineRule="auto"/>
              <w:jc w:val="left"/>
            </w:pPr>
            <w:r>
              <w:rPr>
                <w:rFonts w:ascii="Noto Sans CJK KR" w:hAnsi="Noto Sans CJK KR" w:eastAsia="Noto Sans CJK KR"/>
                <w:b w:val="0"/>
                <w:sz w:val="14"/>
              </w:rPr>
              <w:t>Plaza et al.</w:t>
            </w:r>
          </w:p>
        </w:tc>
        <w:tc>
          <w:tcPr>
            <w:tcW w:type="dxa" w:w="1417"/>
            <w:tcMar>
              <w:top w:w="80" w:type="dxa"/>
              <w:start w:w="80" w:type="dxa"/>
              <w:bottom w:w="80" w:type="dxa"/>
              <w:end w:w="80" w:type="dxa"/>
            </w:tcMar>
            <w:vAlign w:val="center"/>
          </w:tcPr>
          <w:p>
            <w:pPr>
              <w:spacing w:after="0" w:line="240" w:lineRule="auto"/>
              <w:jc w:val="center"/>
            </w:pPr>
            <w:r>
              <w:rPr>
                <w:rFonts w:ascii="Noto Sans CJK KR" w:hAnsi="Noto Sans CJK KR" w:eastAsia="Noto Sans CJK KR"/>
                <w:b w:val="0"/>
                <w:sz w:val="14"/>
              </w:rPr>
              <w:t>2024</w:t>
            </w:r>
          </w:p>
        </w:tc>
        <w:tc>
          <w:tcPr>
            <w:tcW w:type="dxa" w:w="3969"/>
            <w:tcMar>
              <w:top w:w="80" w:type="dxa"/>
              <w:start w:w="80" w:type="dxa"/>
              <w:bottom w:w="80" w:type="dxa"/>
              <w:end w:w="80" w:type="dxa"/>
            </w:tcMar>
            <w:vAlign w:val="center"/>
          </w:tcPr>
          <w:p>
            <w:pPr>
              <w:spacing w:after="0" w:line="240" w:lineRule="auto"/>
              <w:jc w:val="center"/>
            </w:pPr>
            <w:r>
              <w:rPr>
                <w:rFonts w:ascii="Noto Sans CJK KR" w:hAnsi="Noto Sans CJK KR" w:eastAsia="Noto Sans CJK KR"/>
                <w:b w:val="0"/>
                <w:sz w:val="14"/>
              </w:rPr>
              <w:t>번역 기반 벤치마크 타당성 논의</w:t>
            </w:r>
          </w:p>
        </w:tc>
        <w:tc>
          <w:tcPr>
            <w:tcW w:type="dxa" w:w="3402"/>
            <w:tcMar>
              <w:top w:w="80" w:type="dxa"/>
              <w:start w:w="80" w:type="dxa"/>
              <w:bottom w:w="80" w:type="dxa"/>
              <w:end w:w="80" w:type="dxa"/>
            </w:tcMar>
            <w:vAlign w:val="center"/>
          </w:tcPr>
          <w:p>
            <w:pPr>
              <w:spacing w:after="0" w:line="240" w:lineRule="auto"/>
              <w:jc w:val="center"/>
            </w:pPr>
            <w:r>
              <w:rPr>
                <w:rFonts w:ascii="Noto Sans CJK KR" w:hAnsi="Noto Sans CJK KR" w:eastAsia="Noto Sans CJK KR"/>
                <w:b w:val="0"/>
                <w:sz w:val="14"/>
              </w:rPr>
              <w:t>https://arxiv.org/abs/2406.17789</w:t>
            </w:r>
          </w:p>
        </w:tc>
      </w:tr>
      <w:tr>
        <w:trPr>
          <w:cantSplit/>
          <w:cantSplit/>
        </w:trPr>
        <w:tc>
          <w:tcPr>
            <w:tcW w:type="dxa" w:w="2551"/>
            <w:tcMar>
              <w:top w:w="80" w:type="dxa"/>
              <w:start w:w="80" w:type="dxa"/>
              <w:bottom w:w="80" w:type="dxa"/>
              <w:end w:w="80" w:type="dxa"/>
            </w:tcMar>
            <w:vAlign w:val="center"/>
          </w:tcPr>
          <w:p>
            <w:pPr>
              <w:spacing w:after="0" w:line="240" w:lineRule="auto"/>
              <w:jc w:val="left"/>
            </w:pPr>
            <w:r>
              <w:rPr>
                <w:rFonts w:ascii="Noto Sans CJK KR" w:hAnsi="Noto Sans CJK KR" w:eastAsia="Noto Sans CJK KR"/>
                <w:b w:val="0"/>
                <w:sz w:val="14"/>
              </w:rPr>
              <w:t>Anthropic Opus 5.5</w:t>
            </w:r>
          </w:p>
        </w:tc>
        <w:tc>
          <w:tcPr>
            <w:tcW w:type="dxa" w:w="1417"/>
            <w:tcMar>
              <w:top w:w="80" w:type="dxa"/>
              <w:start w:w="80" w:type="dxa"/>
              <w:bottom w:w="80" w:type="dxa"/>
              <w:end w:w="80" w:type="dxa"/>
            </w:tcMar>
            <w:vAlign w:val="center"/>
          </w:tcPr>
          <w:p>
            <w:pPr>
              <w:spacing w:after="0" w:line="240" w:lineRule="auto"/>
              <w:jc w:val="center"/>
            </w:pPr>
            <w:r>
              <w:rPr>
                <w:rFonts w:ascii="Noto Sans CJK KR" w:hAnsi="Noto Sans CJK KR" w:eastAsia="Noto Sans CJK KR"/>
                <w:b w:val="0"/>
                <w:sz w:val="14"/>
              </w:rPr>
              <w:t>2026</w:t>
            </w:r>
          </w:p>
        </w:tc>
        <w:tc>
          <w:tcPr>
            <w:tcW w:type="dxa" w:w="3969"/>
            <w:tcMar>
              <w:top w:w="80" w:type="dxa"/>
              <w:start w:w="80" w:type="dxa"/>
              <w:bottom w:w="80" w:type="dxa"/>
              <w:end w:w="80" w:type="dxa"/>
            </w:tcMar>
            <w:vAlign w:val="center"/>
          </w:tcPr>
          <w:p>
            <w:pPr>
              <w:spacing w:after="0" w:line="240" w:lineRule="auto"/>
              <w:jc w:val="center"/>
            </w:pPr>
            <w:r>
              <w:rPr>
                <w:rFonts w:ascii="Noto Sans CJK KR" w:hAnsi="Noto Sans CJK KR" w:eastAsia="Noto Sans CJK KR"/>
                <w:b w:val="0"/>
                <w:sz w:val="14"/>
              </w:rPr>
              <w:t>모델 패밀리 및 공식 모델 설명</w:t>
            </w:r>
          </w:p>
        </w:tc>
        <w:tc>
          <w:tcPr>
            <w:tcW w:type="dxa" w:w="3402"/>
            <w:tcMar>
              <w:top w:w="80" w:type="dxa"/>
              <w:start w:w="80" w:type="dxa"/>
              <w:bottom w:w="80" w:type="dxa"/>
              <w:end w:w="80" w:type="dxa"/>
            </w:tcMar>
            <w:vAlign w:val="center"/>
          </w:tcPr>
          <w:p>
            <w:pPr>
              <w:spacing w:after="0" w:line="240" w:lineRule="auto"/>
              <w:jc w:val="center"/>
            </w:pPr>
            <w:r>
              <w:rPr>
                <w:rFonts w:ascii="Noto Sans CJK KR" w:hAnsi="Noto Sans CJK KR" w:eastAsia="Noto Sans CJK KR"/>
                <w:b w:val="0"/>
                <w:sz w:val="14"/>
              </w:rPr>
              <w:t>https://www.anthropic.com/claude-opus-5-5</w:t>
            </w:r>
          </w:p>
        </w:tc>
      </w:tr>
      <w:tr>
        <w:trPr>
          <w:cantSplit/>
          <w:cantSplit/>
        </w:trPr>
        <w:tc>
          <w:tcPr>
            <w:tcW w:type="dxa" w:w="2551"/>
            <w:tcMar>
              <w:top w:w="80" w:type="dxa"/>
              <w:start w:w="80" w:type="dxa"/>
              <w:bottom w:w="80" w:type="dxa"/>
              <w:end w:w="80" w:type="dxa"/>
            </w:tcMar>
            <w:vAlign w:val="center"/>
          </w:tcPr>
          <w:p>
            <w:pPr>
              <w:spacing w:after="0" w:line="240" w:lineRule="auto"/>
              <w:jc w:val="left"/>
            </w:pPr>
            <w:r>
              <w:rPr>
                <w:rFonts w:ascii="Noto Sans CJK KR" w:hAnsi="Noto Sans CJK KR" w:eastAsia="Noto Sans CJK KR"/>
                <w:b w:val="0"/>
                <w:sz w:val="14"/>
              </w:rPr>
              <w:t>Anthropic Sonnet 5.5</w:t>
            </w:r>
          </w:p>
        </w:tc>
        <w:tc>
          <w:tcPr>
            <w:tcW w:type="dxa" w:w="1417"/>
            <w:tcMar>
              <w:top w:w="80" w:type="dxa"/>
              <w:start w:w="80" w:type="dxa"/>
              <w:bottom w:w="80" w:type="dxa"/>
              <w:end w:w="80" w:type="dxa"/>
            </w:tcMar>
            <w:vAlign w:val="center"/>
          </w:tcPr>
          <w:p>
            <w:pPr>
              <w:spacing w:after="0" w:line="240" w:lineRule="auto"/>
              <w:jc w:val="center"/>
            </w:pPr>
            <w:r>
              <w:rPr>
                <w:rFonts w:ascii="Noto Sans CJK KR" w:hAnsi="Noto Sans CJK KR" w:eastAsia="Noto Sans CJK KR"/>
                <w:b w:val="0"/>
                <w:sz w:val="14"/>
              </w:rPr>
              <w:t>2026</w:t>
            </w:r>
          </w:p>
        </w:tc>
        <w:tc>
          <w:tcPr>
            <w:tcW w:type="dxa" w:w="3969"/>
            <w:tcMar>
              <w:top w:w="80" w:type="dxa"/>
              <w:start w:w="80" w:type="dxa"/>
              <w:bottom w:w="80" w:type="dxa"/>
              <w:end w:w="80" w:type="dxa"/>
            </w:tcMar>
            <w:vAlign w:val="center"/>
          </w:tcPr>
          <w:p>
            <w:pPr>
              <w:spacing w:after="0" w:line="240" w:lineRule="auto"/>
              <w:jc w:val="center"/>
            </w:pPr>
            <w:r>
              <w:rPr>
                <w:rFonts w:ascii="Noto Sans CJK KR" w:hAnsi="Noto Sans CJK KR" w:eastAsia="Noto Sans CJK KR"/>
                <w:b w:val="0"/>
                <w:sz w:val="14"/>
              </w:rPr>
              <w:t>모델 패밀리 및 공식 모델 설명</w:t>
            </w:r>
          </w:p>
        </w:tc>
        <w:tc>
          <w:tcPr>
            <w:tcW w:type="dxa" w:w="3402"/>
            <w:tcMar>
              <w:top w:w="80" w:type="dxa"/>
              <w:start w:w="80" w:type="dxa"/>
              <w:bottom w:w="80" w:type="dxa"/>
              <w:end w:w="80" w:type="dxa"/>
            </w:tcMar>
            <w:vAlign w:val="center"/>
          </w:tcPr>
          <w:p>
            <w:pPr>
              <w:spacing w:after="0" w:line="240" w:lineRule="auto"/>
              <w:jc w:val="center"/>
            </w:pPr>
            <w:r>
              <w:rPr>
                <w:rFonts w:ascii="Noto Sans CJK KR" w:hAnsi="Noto Sans CJK KR" w:eastAsia="Noto Sans CJK KR"/>
                <w:b w:val="0"/>
                <w:sz w:val="14"/>
              </w:rPr>
              <w:t>https://www.anthropic.com/claude-sonnet-5-5</w:t>
            </w:r>
          </w:p>
        </w:tc>
      </w:tr>
      <w:tr>
        <w:trPr>
          <w:cantSplit/>
          <w:cantSplit/>
        </w:trPr>
        <w:tc>
          <w:tcPr>
            <w:tcW w:type="dxa" w:w="2551"/>
            <w:tcMar>
              <w:top w:w="80" w:type="dxa"/>
              <w:start w:w="80" w:type="dxa"/>
              <w:bottom w:w="80" w:type="dxa"/>
              <w:end w:w="80" w:type="dxa"/>
            </w:tcMar>
            <w:vAlign w:val="center"/>
          </w:tcPr>
          <w:p>
            <w:pPr>
              <w:spacing w:after="0" w:line="240" w:lineRule="auto"/>
              <w:jc w:val="left"/>
            </w:pPr>
            <w:r>
              <w:rPr>
                <w:rFonts w:ascii="Noto Sans CJK KR" w:hAnsi="Noto Sans CJK KR" w:eastAsia="Noto Sans CJK KR"/>
                <w:b w:val="0"/>
                <w:sz w:val="14"/>
              </w:rPr>
              <w:t>Anthropic Transparency Hub</w:t>
            </w:r>
          </w:p>
        </w:tc>
        <w:tc>
          <w:tcPr>
            <w:tcW w:type="dxa" w:w="1417"/>
            <w:tcMar>
              <w:top w:w="80" w:type="dxa"/>
              <w:start w:w="80" w:type="dxa"/>
              <w:bottom w:w="80" w:type="dxa"/>
              <w:end w:w="80" w:type="dxa"/>
            </w:tcMar>
            <w:vAlign w:val="center"/>
          </w:tcPr>
          <w:p>
            <w:pPr>
              <w:spacing w:after="0" w:line="240" w:lineRule="auto"/>
              <w:jc w:val="center"/>
            </w:pPr>
            <w:r>
              <w:rPr>
                <w:rFonts w:ascii="Noto Sans CJK KR" w:hAnsi="Noto Sans CJK KR" w:eastAsia="Noto Sans CJK KR"/>
                <w:b w:val="0"/>
                <w:sz w:val="14"/>
              </w:rPr>
              <w:t>2026</w:t>
            </w:r>
          </w:p>
        </w:tc>
        <w:tc>
          <w:tcPr>
            <w:tcW w:type="dxa" w:w="3969"/>
            <w:tcMar>
              <w:top w:w="80" w:type="dxa"/>
              <w:start w:w="80" w:type="dxa"/>
              <w:bottom w:w="80" w:type="dxa"/>
              <w:end w:w="80" w:type="dxa"/>
            </w:tcMar>
            <w:vAlign w:val="center"/>
          </w:tcPr>
          <w:p>
            <w:pPr>
              <w:spacing w:after="0" w:line="240" w:lineRule="auto"/>
              <w:jc w:val="center"/>
            </w:pPr>
            <w:r>
              <w:rPr>
                <w:rFonts w:ascii="Noto Sans CJK KR" w:hAnsi="Noto Sans CJK KR" w:eastAsia="Noto Sans CJK KR"/>
                <w:b w:val="0"/>
                <w:sz w:val="14"/>
              </w:rPr>
              <w:t>모델 출시·설명 보조 확인</w:t>
            </w:r>
          </w:p>
        </w:tc>
        <w:tc>
          <w:tcPr>
            <w:tcW w:type="dxa" w:w="3402"/>
            <w:tcMar>
              <w:top w:w="80" w:type="dxa"/>
              <w:start w:w="80" w:type="dxa"/>
              <w:bottom w:w="80" w:type="dxa"/>
              <w:end w:w="80" w:type="dxa"/>
            </w:tcMar>
            <w:vAlign w:val="center"/>
          </w:tcPr>
          <w:p>
            <w:pPr>
              <w:spacing w:after="0" w:line="240" w:lineRule="auto"/>
              <w:jc w:val="center"/>
            </w:pPr>
            <w:r>
              <w:rPr>
                <w:rFonts w:ascii="Noto Sans CJK KR" w:hAnsi="Noto Sans CJK KR" w:eastAsia="Noto Sans CJK KR"/>
                <w:b w:val="0"/>
                <w:sz w:val="14"/>
              </w:rPr>
              <w:t>https://www.anthropic.com/transparency</w:t>
            </w:r>
          </w:p>
        </w:tc>
      </w:tr>
      <w:tr>
        <w:trPr>
          <w:cantSplit/>
        </w:trPr>
        <w:tc>
          <w:tcPr>
            <w:tcW w:type="dxa" w:w="2379"/>
            <w:vAlign w:val="center"/>
          </w:tcPr>
          <w:p>
            <w:pPr>
              <w:spacing w:after="0" w:line="240" w:lineRule="auto"/>
            </w:pPr>
            <w:r>
              <w:rPr>
                <w:rFonts w:ascii="Noto Sans CJK KR" w:hAnsi="Noto Sans CJK KR" w:eastAsia="Noto Sans CJK KR"/>
                <w:b w:val="0"/>
                <w:sz w:val="14"/>
              </w:rPr>
              <w:t>Zhao et al., Multilingual CoT Evaluation</w:t>
            </w:r>
          </w:p>
        </w:tc>
        <w:tc>
          <w:tcPr>
            <w:tcW w:type="dxa" w:w="2379"/>
            <w:vAlign w:val="center"/>
          </w:tcPr>
          <w:p>
            <w:pPr>
              <w:spacing w:after="0" w:line="240" w:lineRule="auto"/>
            </w:pPr>
            <w:r>
              <w:rPr>
                <w:rFonts w:ascii="Noto Sans CJK KR" w:hAnsi="Noto Sans CJK KR" w:eastAsia="Noto Sans CJK KR"/>
                <w:b w:val="0"/>
                <w:sz w:val="14"/>
              </w:rPr>
              <w:t>2025</w:t>
            </w:r>
          </w:p>
        </w:tc>
        <w:tc>
          <w:tcPr>
            <w:tcW w:type="dxa" w:w="2379"/>
            <w:vAlign w:val="center"/>
          </w:tcPr>
          <w:p>
            <w:pPr>
              <w:spacing w:after="0" w:line="240" w:lineRule="auto"/>
            </w:pPr>
            <w:r>
              <w:rPr>
                <w:rFonts w:ascii="Noto Sans CJK KR" w:hAnsi="Noto Sans CJK KR" w:eastAsia="Noto Sans CJK KR"/>
                <w:b w:val="0"/>
                <w:sz w:val="14"/>
              </w:rPr>
              <w:t>추론 trace의 성능·일관성·faithfulness 관련 선행연구</w:t>
            </w:r>
          </w:p>
        </w:tc>
        <w:tc>
          <w:tcPr>
            <w:tcW w:type="dxa" w:w="2379"/>
            <w:vAlign w:val="center"/>
          </w:tcPr>
          <w:p>
            <w:pPr>
              <w:spacing w:after="0" w:line="240" w:lineRule="auto"/>
            </w:pPr>
            <w:r>
              <w:rPr>
                <w:rFonts w:ascii="Noto Sans CJK KR" w:hAnsi="Noto Sans CJK KR" w:eastAsia="Noto Sans CJK KR"/>
                <w:b w:val="0"/>
                <w:sz w:val="14"/>
              </w:rPr>
              <w:t>https://arxiv.org/abs/2510.09555</w:t>
            </w:r>
          </w:p>
        </w:tc>
      </w:tr>
      <w:tr>
        <w:trPr>
          <w:cantSplit/>
        </w:trPr>
        <w:tc>
          <w:tcPr>
            <w:tcW w:type="dxa" w:w="2379"/>
            <w:vAlign w:val="center"/>
          </w:tcPr>
          <w:p>
            <w:pPr>
              <w:spacing w:after="0" w:line="240" w:lineRule="auto"/>
            </w:pPr>
            <w:r>
              <w:rPr>
                <w:rFonts w:ascii="Noto Sans CJK KR" w:hAnsi="Noto Sans CJK KR" w:eastAsia="Noto Sans CJK KR"/>
                <w:b w:val="0"/>
                <w:sz w:val="14"/>
              </w:rPr>
              <w:t>Wang et al., MMLU-Pro</w:t>
            </w:r>
          </w:p>
        </w:tc>
        <w:tc>
          <w:tcPr>
            <w:tcW w:type="dxa" w:w="2379"/>
            <w:vAlign w:val="center"/>
          </w:tcPr>
          <w:p>
            <w:pPr>
              <w:spacing w:after="0" w:line="240" w:lineRule="auto"/>
            </w:pPr>
            <w:r>
              <w:rPr>
                <w:rFonts w:ascii="Noto Sans CJK KR" w:hAnsi="Noto Sans CJK KR" w:eastAsia="Noto Sans CJK KR"/>
                <w:b w:val="0"/>
                <w:sz w:val="14"/>
              </w:rPr>
              <w:t>2024</w:t>
            </w:r>
          </w:p>
        </w:tc>
        <w:tc>
          <w:tcPr>
            <w:tcW w:type="dxa" w:w="2379"/>
            <w:vAlign w:val="center"/>
          </w:tcPr>
          <w:p>
            <w:pPr>
              <w:spacing w:after="0" w:line="240" w:lineRule="auto"/>
            </w:pPr>
            <w:r>
              <w:rPr>
                <w:rFonts w:ascii="Noto Sans CJK KR" w:hAnsi="Noto Sans CJK KR" w:eastAsia="Noto Sans CJK KR"/>
                <w:b w:val="0"/>
                <w:sz w:val="14"/>
              </w:rPr>
              <w:t>벤치마크 포화와 난이도·변별력 강화 논의</w:t>
            </w:r>
          </w:p>
        </w:tc>
        <w:tc>
          <w:tcPr>
            <w:tcW w:type="dxa" w:w="2379"/>
            <w:vAlign w:val="center"/>
          </w:tcPr>
          <w:p>
            <w:pPr>
              <w:spacing w:after="0" w:line="240" w:lineRule="auto"/>
            </w:pPr>
            <w:r>
              <w:rPr>
                <w:rFonts w:ascii="Noto Sans CJK KR" w:hAnsi="Noto Sans CJK KR" w:eastAsia="Noto Sans CJK KR"/>
                <w:b w:val="0"/>
                <w:sz w:val="14"/>
              </w:rPr>
              <w:t>https://arxiv.org/abs/2406.01574</w:t>
            </w:r>
          </w:p>
        </w:tc>
      </w:tr>
      <w:tr>
        <w:trPr>
          <w:cantSplit/>
        </w:trPr>
        <w:tc>
          <w:tcPr>
            <w:tcW w:type="dxa" w:w="2379"/>
            <w:vAlign w:val="center"/>
          </w:tcPr>
          <w:p>
            <w:pPr>
              <w:spacing w:after="0" w:line="240" w:lineRule="auto"/>
            </w:pPr>
            <w:r>
              <w:rPr>
                <w:rFonts w:ascii="Noto Sans CJK KR" w:hAnsi="Noto Sans CJK KR" w:eastAsia="Noto Sans CJK KR"/>
                <w:b w:val="0"/>
                <w:sz w:val="14"/>
              </w:rPr>
              <w:t>White et al., LiveBench</w:t>
            </w:r>
          </w:p>
        </w:tc>
        <w:tc>
          <w:tcPr>
            <w:tcW w:type="dxa" w:w="2379"/>
            <w:vAlign w:val="center"/>
          </w:tcPr>
          <w:p>
            <w:pPr>
              <w:spacing w:after="0" w:line="240" w:lineRule="auto"/>
            </w:pPr>
            <w:r>
              <w:rPr>
                <w:rFonts w:ascii="Noto Sans CJK KR" w:hAnsi="Noto Sans CJK KR" w:eastAsia="Noto Sans CJK KR"/>
                <w:b w:val="0"/>
                <w:sz w:val="14"/>
              </w:rPr>
              <w:t>2024</w:t>
            </w:r>
          </w:p>
        </w:tc>
        <w:tc>
          <w:tcPr>
            <w:tcW w:type="dxa" w:w="2379"/>
            <w:vAlign w:val="center"/>
          </w:tcPr>
          <w:p>
            <w:pPr>
              <w:spacing w:after="0" w:line="240" w:lineRule="auto"/>
            </w:pPr>
            <w:r>
              <w:rPr>
                <w:rFonts w:ascii="Noto Sans CJK KR" w:hAnsi="Noto Sans CJK KR" w:eastAsia="Noto Sans CJK KR"/>
                <w:b w:val="0"/>
                <w:sz w:val="14"/>
              </w:rPr>
              <w:t>지속 가능한 고난도·오염 저항 평가 설계</w:t>
            </w:r>
          </w:p>
        </w:tc>
        <w:tc>
          <w:tcPr>
            <w:tcW w:type="dxa" w:w="2379"/>
            <w:vAlign w:val="center"/>
          </w:tcPr>
          <w:p>
            <w:pPr>
              <w:spacing w:after="0" w:line="240" w:lineRule="auto"/>
            </w:pPr>
            <w:r>
              <w:rPr>
                <w:rFonts w:ascii="Noto Sans CJK KR" w:hAnsi="Noto Sans CJK KR" w:eastAsia="Noto Sans CJK KR"/>
                <w:b w:val="0"/>
                <w:sz w:val="14"/>
              </w:rPr>
              <w:t>https://arxiv.org/abs/2406.19314</w:t>
            </w:r>
          </w:p>
        </w:tc>
      </w:tr>
      <w:tr>
        <w:trPr>
          <w:cantSplit/>
        </w:trPr>
        <w:tc>
          <w:tcPr>
            <w:tcW w:type="dxa" w:w="2379"/>
            <w:vAlign w:val="center"/>
          </w:tcPr>
          <w:p>
            <w:pPr>
              <w:spacing w:after="0" w:line="240" w:lineRule="auto"/>
            </w:pPr>
            <w:r>
              <w:rPr>
                <w:rFonts w:ascii="Noto Sans CJK KR" w:hAnsi="Noto Sans CJK KR" w:eastAsia="Noto Sans CJK KR"/>
                <w:b w:val="0"/>
                <w:sz w:val="14"/>
              </w:rPr>
              <w:t>Rein et al., GPQA</w:t>
            </w:r>
          </w:p>
        </w:tc>
        <w:tc>
          <w:tcPr>
            <w:tcW w:type="dxa" w:w="2379"/>
            <w:vAlign w:val="center"/>
          </w:tcPr>
          <w:p>
            <w:pPr>
              <w:spacing w:after="0" w:line="240" w:lineRule="auto"/>
            </w:pPr>
            <w:r>
              <w:rPr>
                <w:rFonts w:ascii="Noto Sans CJK KR" w:hAnsi="Noto Sans CJK KR" w:eastAsia="Noto Sans CJK KR"/>
                <w:b w:val="0"/>
                <w:sz w:val="14"/>
              </w:rPr>
              <w:t>2023</w:t>
            </w:r>
          </w:p>
        </w:tc>
        <w:tc>
          <w:tcPr>
            <w:tcW w:type="dxa" w:w="2379"/>
            <w:vAlign w:val="center"/>
          </w:tcPr>
          <w:p>
            <w:pPr>
              <w:spacing w:after="0" w:line="240" w:lineRule="auto"/>
            </w:pPr>
            <w:r>
              <w:rPr>
                <w:rFonts w:ascii="Noto Sans CJK KR" w:hAnsi="Noto Sans CJK KR" w:eastAsia="Noto Sans CJK KR"/>
                <w:b w:val="0"/>
                <w:sz w:val="14"/>
              </w:rPr>
              <w:t>전문가 수준 고난도 벤치마크 설계 사례</w:t>
            </w:r>
          </w:p>
        </w:tc>
        <w:tc>
          <w:tcPr>
            <w:tcW w:type="dxa" w:w="2379"/>
            <w:vAlign w:val="center"/>
          </w:tcPr>
          <w:p>
            <w:pPr>
              <w:spacing w:after="0" w:line="240" w:lineRule="auto"/>
            </w:pPr>
            <w:r>
              <w:rPr>
                <w:rFonts w:ascii="Noto Sans CJK KR" w:hAnsi="Noto Sans CJK KR" w:eastAsia="Noto Sans CJK KR"/>
                <w:b w:val="0"/>
                <w:sz w:val="14"/>
              </w:rPr>
              <w:t>https://arxiv.org/abs/2311.12022</w:t>
            </w:r>
          </w:p>
        </w:tc>
      </w:tr>
    </w:tbl>
    <w:p>
      <w:pPr>
        <w:spacing w:after="0" w:before="0"/>
      </w:pPr>
    </w:p>
    <w:sectPr>
      <w:footerReference w:type="default" r:id="rId9"/>
      <w:headerReference w:type="default" r:id="rId12"/>
      <w:pgSz w:w="12240" w:h="15840"/>
      <w:pgMar w:top="1304" w:right="1417" w:bottom="130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sz w:val="16"/>
      </w:rPr>
      <w:t>P2-Bench | Reasoning Stability Across Korean and English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jc w:val="both"/>
    </w:pPr>
    <w:rPr>
      <w:rFonts w:ascii="Noto Serif CJK KR" w:hAnsi="Noto Serif CJK KR" w:eastAsia="Noto Serif CJK K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Noto Sans CJK KR" w:hAnsi="Noto Sans CJK KR" w:eastAsia="Noto Sans CJK K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Noto Sans CJK KR" w:hAnsi="Noto Sans CJK KR" w:eastAsia="Noto Sans CJK KR"/>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KR" w:hAnsi="Noto Sans CJK KR" w:eastAsia="Noto Sans CJK KR"/>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다국어 입력 환경에서 동일 LLM 패밀리의 추론 안정성과 오류 유형 비교 분석</dc:title>
  <dc:subject>P2-Bench final anonymous manuscript</dc:subject>
  <dc:creator/>
  <cp:keywords>LLM; multilingual reasoning; cross-lingual evaluation; reasoning stability; Claude; P2-Bench</cp:keywords>
  <dc:description>Final anonymous submission manuscript generated from P2-Bench v2.2 analysis.</dc:description>
  <cp:lastModifiedBy/>
  <cp:revision>1</cp:revision>
  <dcterms:created xsi:type="dcterms:W3CDTF">2013-12-23T23:15:00Z</dcterms:created>
  <dcterms:modified xsi:type="dcterms:W3CDTF">2013-12-23T23:15:00Z</dcterms:modified>
  <cp:category/>
</cp:coreProperties>
</file>