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royd73ora7b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1CCPA - Global Solution - 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31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ALUNOS: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31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GABRIEL DE PAULA GIL – RM 567286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31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DIEGO ASPRINO – RM 561662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31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VINICIUS DE LUCENA – RM  566762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 4ª Revolução Industrial redefine o futuro do trabalho ao integrar tecnologias avançadas, conectividade e automação, enquanto a sustentabilidade emerge como pilar estratégico para a preservação dos recursos naturais e a viabilidade econômica a longo prazo. Nesse contexto, a análise de dados energéticos em ambientes institucionais de alta relevância, como o Palácio do Planalto, por exemplo, torna-se essencial para identificar padrões de consumo, quantificar impactos financeiros e ambientais, e propor soluções baseadas em fontes renováveis.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Como achamos o dataset?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 xml:space="preserve">A partir desse contexto, procuramos vários datasets em vários sites diferentes como kaggle, google datasets e outros, e em nossa procura nos deparamos com um conjunto de informações muito interessantes, porém eram dados brutos de consumo e precisavam ser filtrados e desenvolvidos. </w:t>
      </w:r>
      <w:r w:rsidDel="00000000" w:rsidR="00000000" w:rsidRPr="00000000">
        <w:rPr>
          <w:rtl w:val="0"/>
        </w:rPr>
        <w:t xml:space="preserve">Os dados foram obtidos no</w:t>
      </w:r>
      <w:r w:rsidDel="00000000" w:rsidR="00000000" w:rsidRPr="00000000">
        <w:rPr>
          <w:b w:val="1"/>
          <w:bCs w:val="1"/>
          <w:rtl w:val="0"/>
        </w:rPr>
        <w:t xml:space="preserve"> Portal de Dados Abertos do Governo Federal</w:t>
      </w:r>
      <w:r w:rsidDel="00000000" w:rsidR="00000000" w:rsidRPr="00000000">
        <w:rPr>
          <w:rtl w:val="0"/>
        </w:rPr>
        <w:t xml:space="preserve">, especificamente no conjunto "Consumo de Energia da Presidência da República", partindo de 2023 e atualizado até outubro de 2025. O dataset inclui registros mensais de </w:t>
      </w:r>
      <w:r w:rsidDel="00000000" w:rsidR="00000000" w:rsidRPr="00000000">
        <w:rPr>
          <w:b w:val="1"/>
          <w:bCs w:val="1"/>
          <w:rtl w:val="0"/>
        </w:rPr>
        <w:t xml:space="preserve">consumo (kWh)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gastos (R$)</w:t>
      </w:r>
      <w:r w:rsidDel="00000000" w:rsidR="00000000" w:rsidRPr="00000000">
        <w:rPr>
          <w:rtl w:val="0"/>
        </w:rPr>
        <w:t xml:space="preserve"> para diversas instalações da Casa Civil, com foco no </w:t>
      </w:r>
      <w:r w:rsidDel="00000000" w:rsidR="00000000" w:rsidRPr="00000000">
        <w:rPr>
          <w:b w:val="1"/>
          <w:bCs w:val="1"/>
          <w:rtl w:val="0"/>
        </w:rPr>
        <w:t xml:space="preserve">Palácio do Planalto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highlight w:val="yellow"/>
        </w:rPr>
      </w:pPr>
      <w:r w:rsidDel="00000000" w:rsidR="00000000" w:rsidRPr="00000000">
        <w:rPr>
          <w:rtl w:val="0"/>
        </w:rPr>
        <w:t xml:space="preserve">Link dos datasets: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https://dados.gov.br/dados/conjuntos-dados/consumo-de-energia-da-presidencia-da-</w:t>
        </w:r>
      </w:hyperlink>
      <w:hyperlink r:id="rId7">
        <w:r w:rsidDel="00000000" w:rsidR="00000000" w:rsidRPr="00000000">
          <w:rPr>
            <w:color w:val="000080"/>
            <w:u w:val="single"/>
            <w:rtl w:val="0"/>
          </w:rPr>
          <w:t xml:space="preserve">republica</w:t>
        </w:r>
      </w:hyperlink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Quais são os dados que usaremos?</w:t>
      </w:r>
    </w:p>
    <w:p w:rsidR="00000000" w:rsidDel="00000000" w:rsidP="00000000" w:rsidRDefault="00000000" w:rsidRPr="00000000" w14:paraId="00000018">
      <w:pPr>
        <w:ind w:left="0" w:right="0" w:firstLine="720"/>
        <w:rPr/>
      </w:pPr>
      <w:r w:rsidDel="00000000" w:rsidR="00000000" w:rsidRPr="00000000">
        <w:rPr>
          <w:rtl w:val="0"/>
        </w:rPr>
        <w:t xml:space="preserve">O dataset tem dados sobre o consumo de energia elétrica das edificações da Presidência da República e os gastos mensais e anuais, especificamente sobre a Casa Civil da Presidência da República (Palácio do Planalto). 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/>
        <w:drawing>
          <wp:inline distB="114300" distT="114300" distL="114300" distR="114300">
            <wp:extent cx="5731200" cy="12446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conjunto é composto por dois arquivos CSV: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Consumo 2023-24-25.csv:</w:t>
      </w:r>
      <w:r w:rsidDel="00000000" w:rsidR="00000000" w:rsidRPr="00000000">
        <w:rPr>
          <w:rtl w:val="0"/>
        </w:rPr>
        <w:t xml:space="preserve"> Consumo elétrico mensal (kWh) por local, contrato e ano.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Gastos 2023-24-25.csv:</w:t>
      </w:r>
      <w:r w:rsidDel="00000000" w:rsidR="00000000" w:rsidRPr="00000000">
        <w:rPr>
          <w:rtl w:val="0"/>
        </w:rPr>
        <w:t xml:space="preserve"> Valores monetários mensais (R$) correspondentes.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Por que escolhemos este dataset?</w:t>
      </w:r>
    </w:p>
    <w:p w:rsidR="00000000" w:rsidDel="00000000" w:rsidP="00000000" w:rsidRDefault="00000000" w:rsidRPr="00000000" w14:paraId="0000001E">
      <w:pPr>
        <w:spacing w:line="276" w:lineRule="auto"/>
        <w:ind w:left="0" w:right="0" w:firstLine="720"/>
        <w:rPr/>
      </w:pPr>
      <w:r w:rsidDel="00000000" w:rsidR="00000000" w:rsidRPr="00000000">
        <w:rPr>
          <w:rtl w:val="0"/>
        </w:rPr>
        <w:t xml:space="preserve">No contexto do trabalho, o dataset é coeso com a proposta do desafio além de estar em um formato fácil para formatação e criação de um arquivo csv que depois será analisado usando a linguagem python e suas bibliotecas como: Pandas, Matplotlib e Seaborn. Além disso, podemos destacar outros fatores cruciais, como:</w:t>
      </w:r>
    </w:p>
    <w:p w:rsidR="00000000" w:rsidDel="00000000" w:rsidP="00000000" w:rsidRDefault="00000000" w:rsidRPr="00000000" w14:paraId="0000001F">
      <w:pPr>
        <w:spacing w:line="276" w:lineRule="auto"/>
        <w:ind w:left="0" w:righ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Qualidade e acessibilidade:</w:t>
      </w:r>
      <w:r w:rsidDel="00000000" w:rsidR="00000000" w:rsidRPr="00000000">
        <w:rPr>
          <w:rtl w:val="0"/>
        </w:rPr>
        <w:t xml:space="preserve"> Dados oficiais, estruturados em CSV, com granularidade mensal e cobertura de 3 anos, que para uma análise inicial seria ideal para modelagem em Python.</w:t>
      </w:r>
    </w:p>
    <w:p w:rsidR="00000000" w:rsidDel="00000000" w:rsidP="00000000" w:rsidRDefault="00000000" w:rsidRPr="00000000" w14:paraId="00000020">
      <w:pPr>
        <w:spacing w:line="276" w:lineRule="auto"/>
        <w:ind w:left="0" w:righ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Impacto social:</w:t>
      </w:r>
      <w:r w:rsidDel="00000000" w:rsidR="00000000" w:rsidRPr="00000000">
        <w:rPr>
          <w:rtl w:val="0"/>
        </w:rPr>
        <w:t xml:space="preserve"> Os gastos com energia do Planalto são financiados por impostos, tornando a otimização uma questão de eficiência pública e responsabilidade fiscal.</w:t>
      </w:r>
    </w:p>
    <w:p w:rsidR="00000000" w:rsidDel="00000000" w:rsidP="00000000" w:rsidRDefault="00000000" w:rsidRPr="00000000" w14:paraId="00000021">
      <w:pPr>
        <w:spacing w:after="0" w:before="0" w:line="276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Potencial analítico:</w:t>
      </w:r>
      <w:r w:rsidDel="00000000" w:rsidR="00000000" w:rsidRPr="00000000">
        <w:rPr>
          <w:rtl w:val="0"/>
        </w:rPr>
        <w:t xml:space="preserve"> Permite identificar sazonalidade, tendências de crescimento e oportunidades de intervenção com energias renováveis.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A sustentabilidade e sua importância </w:t>
      </w:r>
    </w:p>
    <w:p w:rsidR="00000000" w:rsidDel="00000000" w:rsidP="00000000" w:rsidRDefault="00000000" w:rsidRPr="00000000" w14:paraId="00000023">
      <w:pPr>
        <w:ind w:firstLine="720"/>
        <w:rPr/>
      </w:pPr>
      <w:r w:rsidDel="00000000" w:rsidR="00000000" w:rsidRPr="00000000">
        <w:rPr>
          <w:rtl w:val="0"/>
        </w:rPr>
        <w:t xml:space="preserve">A sustentabilidade é um dos se não o assunto mais importante quando falamos sobre o futuro do trabalho por implicar diretamente na evolução e no surgimento de novas tecnologias. No setor público, a sustentabilidade reforça a </w:t>
      </w:r>
      <w:r w:rsidDel="00000000" w:rsidR="00000000" w:rsidRPr="00000000">
        <w:rPr>
          <w:b w:val="1"/>
          <w:bCs w:val="1"/>
          <w:rtl w:val="0"/>
        </w:rPr>
        <w:t xml:space="preserve">legitimidade institucional</w:t>
      </w:r>
      <w:r w:rsidDel="00000000" w:rsidR="00000000" w:rsidRPr="00000000">
        <w:rPr>
          <w:rtl w:val="0"/>
        </w:rPr>
        <w:t xml:space="preserve">, alinhando ações governamentais aos Objetivos de Desenvolvimento Sustentável (ODS 7:  Energia Limpa e Acessível e ODS 13:  Ação Contra a Mudança Global do Clima).</w:t>
      </w:r>
    </w:p>
    <w:p w:rsidR="00000000" w:rsidDel="00000000" w:rsidP="00000000" w:rsidRDefault="00000000" w:rsidRPr="00000000" w14:paraId="0000002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Hoje em dia, a eficiência orçamentária e a legitimidade de instituições governamentais dependem diretamente do quanto elas contribuem para a preservação ambiental, com cidadãos e órgãos de controle (como o TCU e a CGU) priorizando gestões que otimizam recursos públicos enquanto avançam em metas de sustentabilidade.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Análise exploratória dos dados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2qotek859ccp" w:id="1"/>
      <w:bookmarkEnd w:id="1"/>
      <w:r w:rsidDel="00000000" w:rsidR="00000000" w:rsidRPr="00000000">
        <w:rPr>
          <w:rtl w:val="0"/>
        </w:rPr>
        <w:t xml:space="preserve">Consumo Mensal Total (kWh) - 2023 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720"/>
        <w:rPr/>
      </w:pPr>
      <w:r w:rsidDel="00000000" w:rsidR="00000000" w:rsidRPr="00000000">
        <w:rPr>
          <w:rtl w:val="0"/>
        </w:rPr>
        <w:t xml:space="preserve">Vendo o gráfico acima nós analisamos alguns pontos: Primeiramente, o consumo de energia mensal não tem padrão aparente, é muito variável, alguns meses o uso de energia é imenso mas outros meses o uso de energia é menor, porém, podemos destacar uma certa sazonalidade, o período entre Junho e Julho sempre apresenta uma queda significativa, e a partir de Agosto é notório uma certa crescente. Mas é quando comparamos entre mais de um ano que vemos que esse consumo segue um padrão que reforça mais ainda a tese de sazonalidade, dado que em todos os anos existe uma curva no mesmo período, mesmo 2023 apresentando diversos picos incomuns no consumo.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o3gfww6erds0" w:id="2"/>
      <w:bookmarkEnd w:id="2"/>
      <w:r w:rsidDel="00000000" w:rsidR="00000000" w:rsidRPr="00000000">
        <w:rPr>
          <w:rtl w:val="0"/>
        </w:rPr>
        <w:t xml:space="preserve">Gasto Mensal Total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720"/>
        <w:rPr/>
      </w:pPr>
      <w:r w:rsidDel="00000000" w:rsidR="00000000" w:rsidRPr="00000000">
        <w:rPr>
          <w:rtl w:val="0"/>
        </w:rPr>
        <w:t xml:space="preserve">Analisando os gastos dos anos de 2023 a 2025, é notório que a linha de consumo é muito mais próxima que a de gasto, os gastos de 2023 são menores em todos os meses, onde provavelmente houve um aumento no custo da energia, e isso pode ter vários motivos como: inflação, aumento do custo de energia, problemas econômicos e entre outros.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gosbo4yypvec" w:id="3"/>
      <w:bookmarkEnd w:id="3"/>
      <w:r w:rsidDel="00000000" w:rsidR="00000000" w:rsidRPr="00000000">
        <w:rPr>
          <w:rtl w:val="0"/>
        </w:rPr>
        <w:t xml:space="preserve">Consumo por local (Total 2023-24-25)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720"/>
        <w:rPr/>
      </w:pPr>
      <w:r w:rsidDel="00000000" w:rsidR="00000000" w:rsidRPr="00000000">
        <w:rPr>
          <w:rtl w:val="0"/>
        </w:rPr>
        <w:t xml:space="preserve">Nesse gráfico nós vemos o consumo por local, isso demonstra quais locais gastam mais que outros sendo o maior pal.planalto-anexos. Isso pode nos ajudar a descobrir em quais locais seria melhor otimizar o uso de energia do que outros.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2tvbidrodsqj" w:id="4"/>
      <w:bookmarkEnd w:id="4"/>
      <w:r w:rsidDel="00000000" w:rsidR="00000000" w:rsidRPr="00000000">
        <w:rPr>
          <w:rtl w:val="0"/>
        </w:rPr>
        <w:t xml:space="preserve">Heatmap de consumo Médio mensal por ano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Com esse heatmap podemos analisar e comprovar sazonalidade, com isso notamos que podem existir possíveis causas raíz para esses padrões, como por exemplo: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Redução de atividades administrativas: </w:t>
      </w:r>
      <w:r w:rsidDel="00000000" w:rsidR="00000000" w:rsidRPr="00000000">
        <w:rPr>
          <w:rtl w:val="0"/>
        </w:rPr>
        <w:t xml:space="preserve">Recesso parlamentar (julho) = menor ocupação dos anexos e salas de reunião.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Aumento de Temperatura no final do Ano: </w:t>
      </w:r>
      <w:r w:rsidDel="00000000" w:rsidR="00000000" w:rsidRPr="00000000">
        <w:rPr>
          <w:rtl w:val="0"/>
        </w:rPr>
        <w:t xml:space="preserve">Com o aumento da temperatura, o uso de ar-condicionado pode aumentar, levando a um aumento significativo no consumo, por isso pode ser notável a crescente a partir de Agosto.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3u8p9tgmwxot" w:id="5"/>
      <w:bookmarkEnd w:id="5"/>
      <w:r w:rsidDel="00000000" w:rsidR="00000000" w:rsidRPr="00000000">
        <w:rPr>
          <w:rtl w:val="0"/>
        </w:rPr>
        <w:t xml:space="preserve">Variabilidade de consumo por Mês (Boxplot)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bxpjxnigkuwa" w:id="6"/>
      <w:bookmarkEnd w:id="6"/>
      <w:r w:rsidDel="00000000" w:rsidR="00000000" w:rsidRPr="00000000">
        <w:rPr>
          <w:rtl w:val="0"/>
        </w:rPr>
        <w:t xml:space="preserve">Identificação de Padrões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Aumento Anual:</w:t>
      </w:r>
      <w:r w:rsidDel="00000000" w:rsidR="00000000" w:rsidRPr="00000000">
        <w:rPr>
          <w:rtl w:val="0"/>
        </w:rPr>
        <w:t xml:space="preserve"> Consumo subiu aprox. 5% de 2023 para 2024, aprox. 0.6% anualizado para 2025. Gastos subiram mais (aprox. 20% e -1% respectivamente), indicando inflação tarifária.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Local Dominante:</w:t>
      </w:r>
      <w:r w:rsidDel="00000000" w:rsidR="00000000" w:rsidRPr="00000000">
        <w:rPr>
          <w:rtl w:val="0"/>
        </w:rPr>
        <w:t xml:space="preserve"> Pal.Planalto - Anexos representa aprox.35% do consumo total, ideal para intervenção sustentável.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i3hwxhtkq92x" w:id="7"/>
      <w:bookmarkEnd w:id="7"/>
      <w:r w:rsidDel="00000000" w:rsidR="00000000" w:rsidRPr="00000000">
        <w:rPr>
          <w:rtl w:val="0"/>
        </w:rPr>
        <w:t xml:space="preserve">Pesquisa: Limitações de Energia Solar em Edifícios Governamentais como o Planalto</w:t>
      </w:r>
    </w:p>
    <w:p w:rsidR="00000000" w:rsidDel="00000000" w:rsidP="00000000" w:rsidRDefault="00000000" w:rsidRPr="00000000" w14:paraId="0000003E">
      <w:pPr>
        <w:ind w:firstLine="720"/>
        <w:rPr/>
      </w:pPr>
      <w:r w:rsidDel="00000000" w:rsidR="00000000" w:rsidRPr="00000000">
        <w:rPr>
          <w:rtl w:val="0"/>
        </w:rPr>
        <w:t xml:space="preserve">De acordo com leis federais (PLS 317/2015, aprovada em 2018), edifícios federais devem instalar painéis solares em novas construções, renovações ou aluguéis. No entanto, a adoção é parcial devido a limitações: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Espaço Físico:</w:t>
      </w:r>
      <w:r w:rsidDel="00000000" w:rsidR="00000000" w:rsidRPr="00000000">
        <w:rPr>
          <w:rtl w:val="0"/>
        </w:rPr>
        <w:t xml:space="preserve"> Telhados limitados em prédios históricos como o Planalto (área 10.000 m² estimada, mas preservação arquitetônica restringe cobertura total).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Demanda Noturna/Contínua:</w:t>
      </w:r>
      <w:r w:rsidDel="00000000" w:rsidR="00000000" w:rsidRPr="00000000">
        <w:rPr>
          <w:rtl w:val="0"/>
        </w:rPr>
        <w:t xml:space="preserve"> Solar gera apenas diurno (aprox. 6h/dia); necessidade de rede para 24/7 (ex.: Alvorada usa PPA para 100% renovável, não 100% on-site).</w:t>
      </w:r>
    </w:p>
    <w:p w:rsidR="00000000" w:rsidDel="00000000" w:rsidP="00000000" w:rsidRDefault="00000000" w:rsidRPr="00000000" w14:paraId="0000004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Custo Inicial e Grid:</w:t>
      </w:r>
      <w:r w:rsidDel="00000000" w:rsidR="00000000" w:rsidRPr="00000000">
        <w:rPr>
          <w:rtl w:val="0"/>
        </w:rPr>
        <w:t xml:space="preserve"> Investimento alto, mas payback rápido; integração via ANEEL RN 482 para injeção de excedente.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Cobertura parcial (30-50%) é realista para o Planalto, complementada por rede.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ooasd0ymgapn" w:id="8"/>
      <w:bookmarkEnd w:id="8"/>
      <w:r w:rsidDel="00000000" w:rsidR="00000000" w:rsidRPr="00000000">
        <w:rPr>
          <w:rtl w:val="0"/>
        </w:rPr>
        <w:t xml:space="preserve">Solução: Energia Solar Fotovoltaica nos Anexos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Localização:</w:t>
      </w:r>
      <w:r w:rsidDel="00000000" w:rsidR="00000000" w:rsidRPr="00000000">
        <w:rPr>
          <w:rtl w:val="0"/>
        </w:rPr>
        <w:t xml:space="preserve"> Pal.Planalto - Anexos, Brasília, DF (Lat: -15.79°, Long: -47.88°).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Funcionalidade:</w:t>
      </w:r>
      <w:r w:rsidDel="00000000" w:rsidR="00000000" w:rsidRPr="00000000">
        <w:rPr>
          <w:rtl w:val="0"/>
        </w:rPr>
        <w:t xml:space="preserve"> Sistema on-grid para gerar energia diurna, reduzindo a dependência da rede. Excedente injetado na rede para créditos. Cobertura parcial (50%) devido a limitações.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Irradiação (CRESESB/Brazilian Atlas):</w:t>
      </w:r>
      <w:r w:rsidDel="00000000" w:rsidR="00000000" w:rsidRPr="00000000">
        <w:rPr>
          <w:rtl w:val="0"/>
        </w:rPr>
        <w:t xml:space="preserve"> GHI anual aprox. 2117 kWh/m²/ano (média 5.8 kWh/m²/dia).</w:t>
      </w:r>
    </w:p>
    <w:p w:rsidR="00000000" w:rsidDel="00000000" w:rsidP="00000000" w:rsidRDefault="00000000" w:rsidRPr="00000000" w14:paraId="0000004F">
      <w:pPr>
        <w:pStyle w:val="Heading3"/>
        <w:rPr>
          <w:color w:val="000000"/>
        </w:rPr>
      </w:pPr>
      <w:bookmarkStart w:colFirst="0" w:colLast="0" w:name="_tlvr302bmp17" w:id="9"/>
      <w:bookmarkEnd w:id="9"/>
      <w:r w:rsidDel="00000000" w:rsidR="00000000" w:rsidRPr="00000000">
        <w:rPr>
          <w:color w:val="000000"/>
          <w:rtl w:val="0"/>
        </w:rPr>
        <w:t xml:space="preserve">Cálculos Detalhados: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Irradiação Anual:</w:t>
      </w:r>
      <w:r w:rsidDel="00000000" w:rsidR="00000000" w:rsidRPr="00000000">
        <w:rPr>
          <w:rtl w:val="0"/>
        </w:rPr>
        <w:t xml:space="preserve"> 2117 kWh/m²/ano.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Eficiência Painel:</w:t>
      </w:r>
      <w:r w:rsidDel="00000000" w:rsidR="00000000" w:rsidRPr="00000000">
        <w:rPr>
          <w:rtl w:val="0"/>
        </w:rPr>
        <w:t xml:space="preserve"> 20% (monocristalino).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Área por Painel:</w:t>
      </w:r>
      <w:r w:rsidDel="00000000" w:rsidR="00000000" w:rsidRPr="00000000">
        <w:rPr>
          <w:rtl w:val="0"/>
        </w:rPr>
        <w:t xml:space="preserve"> 2 m² (400W).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Potência por Painel:</w:t>
      </w:r>
      <w:r w:rsidDel="00000000" w:rsidR="00000000" w:rsidRPr="00000000">
        <w:rPr>
          <w:rtl w:val="0"/>
        </w:rPr>
        <w:t xml:space="preserve"> 0.4 kW.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Fator de Perdas:</w:t>
      </w:r>
      <w:r w:rsidDel="00000000" w:rsidR="00000000" w:rsidRPr="00000000">
        <w:rPr>
          <w:rtl w:val="0"/>
        </w:rPr>
        <w:t xml:space="preserve"> 85%.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Energia por Painel/Ano: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2117 × 2 × 0.20 × 0.85 ≈ 719.78 kWh.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Consumo Anual Médio Anexos:</w:t>
      </w:r>
      <w:r w:rsidDel="00000000" w:rsidR="00000000" w:rsidRPr="00000000">
        <w:rPr>
          <w:rtl w:val="0"/>
        </w:rPr>
        <w:t xml:space="preserve"> 3,926,034 kWh.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Meta Cobertura Parcial: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50% → Energia Necessária: 1,963,017 kWh/ano.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Número de Painéis:</w:t>
      </w:r>
      <w:r w:rsidDel="00000000" w:rsidR="00000000" w:rsidRPr="00000000">
        <w:rPr>
          <w:rtl w:val="0"/>
        </w:rPr>
        <w:t xml:space="preserve"> ceil(1,963,017 / 719.78) = 2,728.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Potência Total:</w:t>
      </w:r>
      <w:r w:rsidDel="00000000" w:rsidR="00000000" w:rsidRPr="00000000">
        <w:rPr>
          <w:rtl w:val="0"/>
        </w:rPr>
        <w:t xml:space="preserve"> 2,728 × 0.4 = 1,091 kWp.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Ângulo de Instalação:</w:t>
      </w:r>
      <w:r w:rsidDel="00000000" w:rsidR="00000000" w:rsidRPr="00000000">
        <w:rPr>
          <w:rtl w:val="0"/>
        </w:rPr>
        <w:t xml:space="preserve"> 16° (latitude, face norte).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Inversor:</w:t>
      </w:r>
      <w:r w:rsidDel="00000000" w:rsidR="00000000" w:rsidRPr="00000000">
        <w:rPr>
          <w:rtl w:val="0"/>
        </w:rPr>
        <w:t xml:space="preserve"> On-grid Growatt MAX 1MW (eficiência 98%, 3 MPPTs); painéis em strings de 15 (série para 600V) e 182 paralelos.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Ligação na Rede:</w:t>
      </w:r>
      <w:r w:rsidDel="00000000" w:rsidR="00000000" w:rsidRPr="00000000">
        <w:rPr>
          <w:rtl w:val="0"/>
        </w:rPr>
        <w:t xml:space="preserve"> Medidor bidirecional; inversor </w:t>
      </w:r>
      <w:r w:rsidDel="00000000" w:rsidR="00000000" w:rsidRPr="00000000">
        <w:rPr>
          <w:rtl w:val="0"/>
        </w:rPr>
        <w:t xml:space="preserve">sincroniza</w:t>
      </w:r>
      <w:r w:rsidDel="00000000" w:rsidR="00000000" w:rsidRPr="00000000">
        <w:rPr>
          <w:rtl w:val="0"/>
        </w:rPr>
        <w:t xml:space="preserve"> 220V/60Hz, injeção via RN 482/ANEEL.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ww15jguxr8r0" w:id="10"/>
      <w:bookmarkEnd w:id="10"/>
      <w:r w:rsidDel="00000000" w:rsidR="00000000" w:rsidRPr="00000000">
        <w:rPr>
          <w:rtl w:val="0"/>
        </w:rPr>
        <w:t xml:space="preserve">Investimento e ROI: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Custo Total</w:t>
      </w:r>
      <w:r w:rsidDel="00000000" w:rsidR="00000000" w:rsidRPr="00000000">
        <w:rPr>
          <w:rtl w:val="0"/>
        </w:rPr>
        <w:t xml:space="preserve">: 2,728,000 (R$2,500/kWp).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Tarifa Média</w:t>
      </w:r>
      <w:r w:rsidDel="00000000" w:rsidR="00000000" w:rsidRPr="00000000">
        <w:rPr>
          <w:rtl w:val="0"/>
        </w:rPr>
        <w:t xml:space="preserve">: 0.96/kWh.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Economia Anual</w:t>
      </w:r>
      <w:r w:rsidDel="00000000" w:rsidR="00000000" w:rsidRPr="00000000">
        <w:rPr>
          <w:rtl w:val="0"/>
        </w:rPr>
        <w:t xml:space="preserve">: 1,889,282 (50% cobertura).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Gasto Restante Anual</w:t>
      </w:r>
      <w:r w:rsidDel="00000000" w:rsidR="00000000" w:rsidRPr="00000000">
        <w:rPr>
          <w:rtl w:val="0"/>
        </w:rPr>
        <w:t xml:space="preserve">: 1,889,282 (metade da conta original).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Payback</w:t>
      </w:r>
      <w:r w:rsidDel="00000000" w:rsidR="00000000" w:rsidRPr="00000000">
        <w:rPr>
          <w:rtl w:val="0"/>
        </w:rPr>
        <w:t xml:space="preserve">: 1.44 anos.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Redução CO₂</w:t>
      </w:r>
      <w:r w:rsidDel="00000000" w:rsidR="00000000" w:rsidRPr="00000000">
        <w:rPr>
          <w:rtl w:val="0"/>
        </w:rPr>
        <w:t xml:space="preserve">: 78.5 t/ano.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mru6yadmrkvg" w:id="11"/>
      <w:bookmarkEnd w:id="11"/>
      <w:r w:rsidDel="00000000" w:rsidR="00000000" w:rsidRPr="00000000">
        <w:rPr>
          <w:rtl w:val="0"/>
        </w:rPr>
        <w:t xml:space="preserve">Predição para Novembro/Dezembro 2025 nos Anexos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Predição Nov 2025 (sem solar):</w:t>
      </w:r>
      <w:r w:rsidDel="00000000" w:rsidR="00000000" w:rsidRPr="00000000">
        <w:rPr>
          <w:rtl w:val="0"/>
        </w:rPr>
        <w:t xml:space="preserve"> 362,905 kWh | R$ 290,274.29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Predição Nov 2025 (com solar parcial):</w:t>
      </w:r>
      <w:r w:rsidDel="00000000" w:rsidR="00000000" w:rsidRPr="00000000">
        <w:rPr>
          <w:rtl w:val="0"/>
        </w:rPr>
        <w:t xml:space="preserve"> 178,178 kWh | R$ 142,518.01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Predição Dez 2025 (sem solar):</w:t>
      </w:r>
      <w:r w:rsidDel="00000000" w:rsidR="00000000" w:rsidRPr="00000000">
        <w:rPr>
          <w:rtl w:val="0"/>
        </w:rPr>
        <w:t xml:space="preserve"> 345,476 kWh | R$ 276,333.68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Predição Dez 2025 (com solar parcial):</w:t>
      </w:r>
      <w:r w:rsidDel="00000000" w:rsidR="00000000" w:rsidRPr="00000000">
        <w:rPr>
          <w:rtl w:val="0"/>
        </w:rPr>
        <w:t xml:space="preserve"> 160,749 kWh | R$ 128,577.40</w:t>
      </w:r>
    </w:p>
    <w:p w:rsidR="00000000" w:rsidDel="00000000" w:rsidP="00000000" w:rsidRDefault="00000000" w:rsidRPr="00000000" w14:paraId="00000075">
      <w:pPr>
        <w:pStyle w:val="Heading3"/>
        <w:rPr>
          <w:color w:val="000000"/>
        </w:rPr>
      </w:pPr>
      <w:bookmarkStart w:colFirst="0" w:colLast="0" w:name="_bw0r097u7yqs" w:id="12"/>
      <w:bookmarkEnd w:id="12"/>
      <w:r w:rsidDel="00000000" w:rsidR="00000000" w:rsidRPr="00000000">
        <w:rPr>
          <w:color w:val="000000"/>
          <w:rtl w:val="0"/>
        </w:rPr>
        <w:t xml:space="preserve">Gráfico Comparativo: Nov/Dez 2023-2025 (Com e sem Solar)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yzpf66r57j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lfdsiu13k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rvnh30uska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sectPr>
      <w:headerReference r:id="rId15" w:type="default"/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widowControl w:val="1"/>
      <w:spacing w:line="276" w:lineRule="auto"/>
      <w:jc w:val="cente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2246475</wp:posOffset>
          </wp:positionH>
          <wp:positionV relativeFrom="paragraph">
            <wp:posOffset>342900</wp:posOffset>
          </wp:positionV>
          <wp:extent cx="1238250" cy="447675"/>
          <wp:effectExtent b="0" l="0" r="0" t="0"/>
          <wp:wrapNone/>
          <wp:docPr id="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8250" cy="4476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eader" Target="header1.xml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dados.gov.br/dados/conjuntos-dados/consumo-de-energia-da-presidencia-da-republica" TargetMode="External"/><Relationship Id="rId7" Type="http://schemas.openxmlformats.org/officeDocument/2006/relationships/hyperlink" Target="https://dados.gov.br/dados/conjuntos-dados/consumo-de-energia-da-presidencia-da-republica" TargetMode="External"/><Relationship Id="rId8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