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Architecture Blueprint – Retail Migration Project</w:t>
      </w:r>
    </w:p>
    <w:p>
      <w:pPr>
        <w:pStyle w:val="Heading1"/>
      </w:pPr>
      <w:r>
        <w:t>1. Project Overview</w:t>
      </w:r>
    </w:p>
    <w:p>
      <w:r>
        <w:t>This document outlines the architecture for the migration of 140+ MuleSoft applications to Talend.</w:t>
      </w:r>
    </w:p>
    <w:p>
      <w:pPr>
        <w:pStyle w:val="Heading1"/>
      </w:pPr>
      <w:r>
        <w:t>2. Current vs Target Architecture</w:t>
      </w:r>
    </w:p>
    <w:p>
      <w:r>
        <w:t>Legacy: MuleSoft; Target: Talend + Azure + Snowflake + AWS</w:t>
      </w:r>
    </w:p>
    <w:p>
      <w:pPr>
        <w:pStyle w:val="Heading1"/>
      </w:pPr>
      <w:r>
        <w:t>3. Data Flow Diagram</w:t>
      </w:r>
    </w:p>
    <w:p>
      <w:r>
        <w:t>Data Sources → Talend Jobs → Azure/AWS → Snowflake → BI Systems</w:t>
      </w:r>
    </w:p>
    <w:p>
      <w:pPr>
        <w:pStyle w:val="Heading1"/>
      </w:pPr>
      <w:r>
        <w:t>4. CI/CD &amp; Monitoring</w:t>
      </w:r>
    </w:p>
    <w:p>
      <w:r>
        <w:t>Jenkins for builds, Git for version control, TAC and Splunk for monitoring.</w:t>
      </w:r>
    </w:p>
    <w:p>
      <w:pPr>
        <w:pStyle w:val="Heading1"/>
      </w:pPr>
      <w:r>
        <w:t>5. Security &amp; Access</w:t>
      </w:r>
    </w:p>
    <w:p>
      <w:r>
        <w:t>RBAC enabled on Azure and Snowflake, API authentication via OAuth2.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