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Breach Response Plan</w:t>
      </w:r>
    </w:p>
    <w:p>
      <w:pPr>
        <w:spacing w:after="280"/>
      </w:pPr>
      <w:r>
        <w:rPr>
          <w:color w:val="6C5B51"/>
          <w:sz w:val="22"/>
        </w:rPr>
        <w:t>Deaf Shark Coffee  |  Internal procedure  |  Version 1.0</w:t>
      </w:r>
    </w:p>
    <w:tbl>
      <w:tblPr>
        <w:tblW w:type="auto" w:w="0"/>
        <w:tblLayout w:type="autofit"/>
        <w:tblLook w:firstColumn="1" w:firstRow="1" w:lastColumn="0" w:lastRow="0" w:noHBand="0" w:noVBand="1" w:val="04A0"/>
      </w:tblPr>
      <w:tblGrid>
        <w:gridCol w:w="9994"/>
      </w:tblGrid>
      <w:tr>
        <w:tc>
          <w:tcPr>
            <w:tcW w:type="dxa" w:w="9994"/>
            <w:shd w:fill="F6EDE3"/>
          </w:tcPr>
          <w:p>
            <w:pPr>
              <w:spacing w:after="0"/>
            </w:pPr>
            <w:r>
              <w:rPr>
                <w:b/>
                <w:color w:val="A8641C"/>
              </w:rPr>
              <w:t>Keep an offline copy of this plan. It is an operational checklist, not a substitute for breach counsel, insurer instructions, law-enforcement direction, or vendor incident procedures.</w:t>
            </w:r>
          </w:p>
        </w:tc>
      </w:tr>
    </w:tbl>
    <w:p/>
    <w:p>
      <w:pPr>
        <w:pStyle w:val="Heading1"/>
      </w:pPr>
      <w:r>
        <w:t>1 Report and activate</w:t>
      </w:r>
    </w:p>
    <w:p>
      <w:pPr>
        <w:keepLines/>
      </w:pPr>
      <w:r>
        <w:t>Anyone who notices a lost device, exposed credential, suspicious login, malware, misdirected customer data, unauthorized database access, vendor alert, or accidental public file must immediately notify the owner and technical administrator. Do not investigate through personal accounts or discuss the incident publicly. Record who reported it, when it was discovered, affected systems, and known facts without guessing.</w:t>
      </w:r>
    </w:p>
    <w:p>
      <w:pPr>
        <w:pStyle w:val="Heading1"/>
      </w:pPr>
      <w:r>
        <w:t>2 First-hour containment</w:t>
      </w:r>
    </w:p>
    <w:p>
      <w:pPr>
        <w:pStyle w:val="ListBullet"/>
        <w:keepLines/>
      </w:pPr>
      <w:r>
        <w:t>Preserve evidence: screenshots, audit logs, emails, timestamps, affected URLs, account identifiers, and vendor ticket numbers. Do not erase logs or rebuild affected systems before evidence is saved.</w:t>
      </w:r>
    </w:p>
    <w:p>
      <w:pPr>
        <w:pStyle w:val="ListBullet"/>
        <w:keepLines/>
      </w:pPr>
      <w:r>
        <w:t>Contain access: disable compromised accounts, revoke sessions and API keys, rotate affected secrets, isolate exposed systems, and restrict database access. Do not destroy the only evidence copy.</w:t>
      </w:r>
    </w:p>
    <w:p>
      <w:pPr>
        <w:pStyle w:val="ListBullet"/>
        <w:keepLines/>
      </w:pPr>
      <w:r>
        <w:t>Protect operations: pause affected checkout, account, messaging, or application features if continued operation could increase harm.</w:t>
      </w:r>
    </w:p>
    <w:p>
      <w:pPr>
        <w:pStyle w:val="ListBullet"/>
        <w:keepLines/>
      </w:pPr>
      <w:r>
        <w:t>Contact the cyber insurer before hiring outside vendors or making admissions if the policy requires prior approval.</w:t>
      </w:r>
    </w:p>
    <w:p>
      <w:pPr>
        <w:pStyle w:val="ListBullet"/>
        <w:keepLines/>
      </w:pPr>
      <w:r>
        <w:t>Open urgent tickets with Cloudflare, Stripe, Google, Twilio, email, hosting, or other affected providers and preserve their responses.</w:t>
      </w:r>
    </w:p>
    <w:p>
      <w:pPr>
        <w:pStyle w:val="Heading1"/>
      </w:pPr>
      <w:r>
        <w:t>3 Assess scope and risk</w:t>
      </w:r>
    </w:p>
    <w:p>
      <w:pPr>
        <w:keepLines/>
      </w:pPr>
      <w:r>
        <w:t>Create a verified inventory of what happened, the access window, systems and vendors involved, individuals and jurisdictions affected, data elements exposed, whether data was encrypted, evidence of acquisition or misuse, restoration status, and continuing risks. Separate confirmed facts from assumptions. Preserve a decision log and chain of custody for exported evidence.</w:t>
      </w:r>
    </w:p>
    <w:p>
      <w:pPr>
        <w:pStyle w:val="Heading1"/>
      </w:pPr>
      <w:r>
        <w:t>4 Legal and regulatory review</w:t>
      </w:r>
    </w:p>
    <w:p>
      <w:pPr>
        <w:keepLines/>
      </w:pPr>
      <w:r>
        <w:t>Promptly involve qualified breach counsel when personal information may have been accessed or acquired without authorization. Counsel should determine whether notification duties apply, deadlines, content, substitute notice, consumer reporting obligations, contractual notices, and law-enforcement coordination. For a qualifying New Jersey breach, follow current New Jersey requirements, including notifying the New Jersey State Police Cyber Crimes Unit before notifying affected New Jersey customers when required. Do not delay a required notice for marketing or reputation reasons.</w:t>
      </w:r>
    </w:p>
    <w:p>
      <w:pPr>
        <w:pStyle w:val="Heading1"/>
      </w:pPr>
      <w:r>
        <w:t>5 Customer and partner communications</w:t>
      </w:r>
    </w:p>
    <w:p>
      <w:pPr>
        <w:keepLines/>
      </w:pPr>
      <w:r>
        <w:t>Use one approved factual message that states what happened, the dates, information involved, actions taken, steps customers can take, and a reliable contact method. Do not speculate, minimize, promise that no harm can occur, or include sensitive data in the notice. Coordinate notices to affected vendors, payment partners, insurers, banks, regulators, and law enforcement as counsel directs. Maintain copies and delivery records.</w:t>
      </w:r>
    </w:p>
    <w:p>
      <w:pPr>
        <w:pStyle w:val="Heading1"/>
      </w:pPr>
      <w:r>
        <w:t>6 Recovery</w:t>
      </w:r>
    </w:p>
    <w:p>
      <w:pPr>
        <w:pStyle w:val="ListBullet"/>
        <w:keepLines/>
      </w:pPr>
      <w:r>
        <w:t>Verify the vulnerability is closed before restoring affected functions.</w:t>
      </w:r>
    </w:p>
    <w:p>
      <w:pPr>
        <w:pStyle w:val="ListBullet"/>
        <w:keepLines/>
      </w:pPr>
      <w:r>
        <w:t>Restore from known-good backups and validate permissions, logging, rate limits, multifactor authentication, and secret rotation.</w:t>
      </w:r>
    </w:p>
    <w:p>
      <w:pPr>
        <w:pStyle w:val="ListBullet"/>
        <w:keepLines/>
      </w:pPr>
      <w:r>
        <w:t>Monitor for repeat access, fraud, chargebacks, credential attacks, and suspicious account changes.</w:t>
      </w:r>
    </w:p>
    <w:p>
      <w:pPr>
        <w:pStyle w:val="ListBullet"/>
        <w:keepLines/>
      </w:pPr>
      <w:r>
        <w:t>Provide staff with narrowly tailored instructions and a single contact for customer questions.</w:t>
      </w:r>
    </w:p>
    <w:p>
      <w:pPr>
        <w:pStyle w:val="ListBullet"/>
        <w:keepLines/>
      </w:pPr>
      <w:r>
        <w:t>Document systems restored, tests performed, unresolved risks, and the owner who approved return to service.</w:t>
      </w:r>
    </w:p>
    <w:p>
      <w:pPr>
        <w:pStyle w:val="Heading1"/>
      </w:pPr>
      <w:r>
        <w:t>7 Post-incident review</w:t>
      </w:r>
    </w:p>
    <w:p>
      <w:pPr>
        <w:keepLines/>
      </w:pPr>
      <w:r>
        <w:t>Within 14 days after containment, document root cause, impact, response times, decisions, notices, costs, evidence location, and corrective actions with owners and deadlines. Update access controls, retention, vendor settings, training, policies, and this plan. Preserve the incident file for the period approved by counsel and the insurer. Conduct a tabletop exercise at least annually.</w:t>
      </w:r>
    </w:p>
    <w:p>
      <w:pPr>
        <w:pStyle w:val="Heading1"/>
      </w:pPr>
      <w:r>
        <w:t>8 Contact sheet to complete before launch</w:t>
      </w:r>
    </w:p>
    <w:p>
      <w:pPr>
        <w:pStyle w:val="ListBullet"/>
        <w:keepLines/>
      </w:pPr>
      <w:r>
        <w:t>Business owner and after-hours number.</w:t>
      </w:r>
    </w:p>
    <w:p>
      <w:pPr>
        <w:pStyle w:val="ListBullet"/>
        <w:keepLines/>
      </w:pPr>
      <w:r>
        <w:t>Technical administrator and backup contact.</w:t>
      </w:r>
    </w:p>
    <w:p>
      <w:pPr>
        <w:pStyle w:val="ListBullet"/>
        <w:keepLines/>
      </w:pPr>
      <w:r>
        <w:t>Cyber insurer policy number and incident hotline.</w:t>
      </w:r>
    </w:p>
    <w:p>
      <w:pPr>
        <w:pStyle w:val="ListBullet"/>
        <w:keepLines/>
      </w:pPr>
      <w:r>
        <w:t>New Jersey breach/privacy counsel.</w:t>
      </w:r>
    </w:p>
    <w:p>
      <w:pPr>
        <w:pStyle w:val="ListBullet"/>
        <w:keepLines/>
      </w:pPr>
      <w:r>
        <w:t>Cloudflare, Stripe, Google, Twilio, email provider, bank, and POS support contacts.</w:t>
      </w:r>
    </w:p>
    <w:p>
      <w:pPr>
        <w:pStyle w:val="ListBullet"/>
        <w:keepLines/>
      </w:pPr>
      <w:r>
        <w:t>New Jersey State Police Cyber Crimes Unit current reporting channel, verified from nj.gov at the time of an incident.</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attorney review  |  </w:t>
    </w:r>
    <w:r>
      <w:rPr>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D1A12"/>
      </w:rPr>
      <w:t>DEAF SHARK COFFEE  |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1A1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b/>
      <w:bCs/>
      <w:color w:val="2D1A1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D5F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Georgia" w:hAnsi="Georgia"/>
      <w:b w:val="0"/>
      <w:color w:val="2D1A1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skLabel">
    <w:name w:val="Risk Label"/>
    <w:pPr>
      <w:spacing w:after="40"/>
    </w:pPr>
    <w:rPr>
      <w:rFonts w:ascii="Aptos" w:hAnsi="Aptos"/>
      <w:b/>
      <w:color w:val="9E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