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and Deletion Procedure</w:t>
      </w:r>
    </w:p>
    <w:p>
      <w:pPr>
        <w:spacing w:after="280"/>
      </w:pPr>
      <w:r>
        <w:rPr>
          <w:color w:val="6C5B51"/>
          <w:sz w:val="22"/>
        </w:rPr>
        <w:t>Deaf Shark Coffee  |  Internal procedure  |  Version 1.0</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Effective only after owner approval. Automatic deletion remains disabled until the accountant and New Jersey counsel confirm the financial, employment, insurance, and dispute-retention periods.</w:t>
            </w:r>
          </w:p>
        </w:tc>
      </w:tr>
    </w:tbl>
    <w:p/>
    <w:p>
      <w:pPr>
        <w:pStyle w:val="Heading1"/>
      </w:pPr>
      <w:r>
        <w:t>1 Purpose and owner</w:t>
      </w:r>
    </w:p>
    <w:p>
      <w:pPr>
        <w:keepLines/>
      </w:pPr>
      <w:r>
        <w:t>This procedure limits personal information to what Deaf Shark Coffee needs for service, security, legal, accounting, employment, and dispute purposes. The business owner is accountable for the schedule. A named technical administrator performs approved exports, anonymization, and deletion and records each run. No staff member may delete records informally.</w:t>
      </w:r>
    </w:p>
    <w:p>
      <w:pPr>
        <w:pStyle w:val="Heading1"/>
      </w:pPr>
      <w:r>
        <w:t>2 Approved working schedule</w:t>
      </w:r>
    </w:p>
    <w:p>
      <w:pPr>
        <w:pStyle w:val="ListBullet"/>
        <w:keepLines/>
      </w:pPr>
      <w:r>
        <w:t>Active account and profile: retain while active. After authenticated closure, delete the profile and authentication records, forfeit loyalty benefits, and anonymize the account link, customer name, phone number, and text consent in retained orders.</w:t>
      </w:r>
    </w:p>
    <w:p>
      <w:pPr>
        <w:pStyle w:val="ListBullet"/>
        <w:keepLines/>
      </w:pPr>
      <w:r>
        <w:t>Orders, refunds, taxes, and financial summaries: retain minimum transaction records for seven years unless the accountant approves a different period. Remove direct customer identifiers earlier when operationally feasible.</w:t>
      </w:r>
    </w:p>
    <w:p>
      <w:pPr>
        <w:pStyle w:val="ListBullet"/>
        <w:keepLines/>
      </w:pPr>
      <w:r>
        <w:t>Loyalty, referral, student, birthday, and member-offer data: delete on verified account closure, normally within 30 days, unless a specific fraud or dispute hold applies.</w:t>
      </w:r>
    </w:p>
    <w:p>
      <w:pPr>
        <w:pStyle w:val="ListBullet"/>
        <w:keepLines/>
      </w:pPr>
      <w:r>
        <w:t>Contact inquiries: retain for up to two years after the matter closes, then delete or anonymize.</w:t>
      </w:r>
    </w:p>
    <w:p>
      <w:pPr>
        <w:pStyle w:val="ListBullet"/>
        <w:keepLines/>
      </w:pPr>
      <w:r>
        <w:t>Unsuccessful job applications and resumes: retain for two years, then securely delete. Records for hired applicants move to the personnel-record schedule.</w:t>
      </w:r>
    </w:p>
    <w:p>
      <w:pPr>
        <w:pStyle w:val="ListBullet"/>
        <w:keepLines/>
      </w:pPr>
      <w:r>
        <w:t>Marketing consent: retain while subscribed. After opt-out or closure, retain only a minimal suppression record needed to prevent future marketing.</w:t>
      </w:r>
    </w:p>
    <w:p>
      <w:pPr>
        <w:pStyle w:val="ListBullet"/>
        <w:keepLines/>
      </w:pPr>
      <w:r>
        <w:t>Expired sessions and verification tokens: delete within 90 days after expiration.</w:t>
      </w:r>
    </w:p>
    <w:p>
      <w:pPr>
        <w:pStyle w:val="ListBullet"/>
        <w:keepLines/>
      </w:pPr>
      <w:r>
        <w:t>Security and access logs: retain up to 12 months unless an active incident, fraud review, insurer request, or legal hold requires longer.</w:t>
      </w:r>
    </w:p>
    <w:p>
      <w:pPr>
        <w:pStyle w:val="ListBullet"/>
        <w:keepLines/>
      </w:pPr>
      <w:r>
        <w:t>Backups: use a documented rolling window of 35 to 90 days and allow deleted data to age out through normal rotation.</w:t>
      </w:r>
    </w:p>
    <w:p>
      <w:pPr>
        <w:pStyle w:val="Heading1"/>
      </w:pPr>
      <w:r>
        <w:t>3 Account closure</w:t>
      </w:r>
    </w:p>
    <w:p>
      <w:pPr>
        <w:keepLines/>
      </w:pPr>
      <w:r>
        <w:t>The customer must be authenticated and type DELETE to confirm closure. The system revokes sessions, removes authentication and profile records, deletes loyalty and offer records, changes marketing to unsubscribed, and anonymizes retained order records. It does not erase transaction amounts, taxes, ordered items, status, or dates needed for accounting, refunds, fraud review, or disputes. Contact-form and employment records are evaluated under their own schedules because they may have been submitted for a separate purpose.</w:t>
      </w:r>
    </w:p>
    <w:p>
      <w:pPr>
        <w:pStyle w:val="Heading1"/>
      </w:pPr>
      <w:r>
        <w:t>4 Information downloads and manual requests</w:t>
      </w:r>
    </w:p>
    <w:p>
      <w:pPr>
        <w:keepLines/>
      </w:pPr>
      <w:r>
        <w:t>An authenticated customer may download a JSON copy from account settings. Requests received at help@deafsharkcoffee.com must be logged with the date, identity-verification method, scope, decision, response date, and any exception. Never send password hashes, session tokens, authentication tokens, internal security signals, or another person's information. Escalate uncertain requests to counsel.</w:t>
      </w:r>
    </w:p>
    <w:p>
      <w:pPr>
        <w:pStyle w:val="Heading1"/>
      </w:pPr>
      <w:r>
        <w:t>5 Quarterly review process</w:t>
      </w:r>
    </w:p>
    <w:p>
      <w:pPr>
        <w:pStyle w:val="ListBullet"/>
        <w:keepLines/>
      </w:pPr>
      <w:r>
        <w:t>Export a count by record category and age without exposing record contents unnecessarily.</w:t>
      </w:r>
    </w:p>
    <w:p>
      <w:pPr>
        <w:pStyle w:val="ListBullet"/>
        <w:keepLines/>
      </w:pPr>
      <w:r>
        <w:t>Check for records past the approved period and for deletion jobs that failed.</w:t>
      </w:r>
    </w:p>
    <w:p>
      <w:pPr>
        <w:pStyle w:val="ListBullet"/>
        <w:keepLines/>
      </w:pPr>
      <w:r>
        <w:t>Confirm that legal, insurer, chargeback, tax, employment, and incident holds are documented before deletion.</w:t>
      </w:r>
    </w:p>
    <w:p>
      <w:pPr>
        <w:pStyle w:val="ListBullet"/>
        <w:keepLines/>
      </w:pPr>
      <w:r>
        <w:t>Run approved deletion or anonymization against a backup-tested procedure, then record counts and completion time.</w:t>
      </w:r>
    </w:p>
    <w:p>
      <w:pPr>
        <w:pStyle w:val="ListBullet"/>
        <w:keepLines/>
      </w:pPr>
      <w:r>
        <w:t>Review staff access, remove departed personnel, and verify every administrator uses an individual account with multifactor authentication.</w:t>
      </w:r>
    </w:p>
    <w:p>
      <w:pPr>
        <w:pStyle w:val="ListBullet"/>
        <w:keepLines/>
      </w:pPr>
      <w:r>
        <w:t>Review vendors, policy versions, marketing tools, pixels, and new data fields for schedule changes.</w:t>
      </w:r>
    </w:p>
    <w:p>
      <w:pPr>
        <w:pStyle w:val="Heading1"/>
      </w:pPr>
      <w:r>
        <w:t>6 Legal holds and exceptions</w:t>
      </w:r>
    </w:p>
    <w:p>
      <w:pPr>
        <w:keepLines/>
      </w:pPr>
      <w:r>
        <w:t>Suspend normal deletion only for a documented reason such as a subpoena, threatened claim, active chargeback, tax examination, employment matter, security incident, or insurer instruction. Record the affected category, approving person, start date, and review date. Release the hold promptly when the reason ends and resume normal disposition.</w:t>
      </w:r>
    </w:p>
    <w:p>
      <w:pPr>
        <w:pStyle w:val="Heading1"/>
      </w:pPr>
      <w:r>
        <w:t>7 Annual approval</w:t>
      </w:r>
    </w:p>
    <w:p>
      <w:pPr>
        <w:keepLines/>
      </w:pPr>
      <w:r>
        <w:t>The owner reviews this procedure at least annually and whenever payment, marketing, text messaging, employment, analytics, gift-card, or ordering practices change. The accountant confirms financial periods; counsel confirms legal exceptions; and the technical administrator confirms that the live database, backups, logs, and vendor systems match the approved schedule.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