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Legal Audit and Redline Summary</w:t>
      </w:r>
    </w:p>
    <w:p>
      <w:pPr>
        <w:spacing w:after="280"/>
      </w:pPr>
      <w:r>
        <w:rPr>
          <w:color w:val="6C5B51"/>
          <w:sz w:val="22"/>
        </w:rPr>
        <w:t>Deaf Shark Coffee  |  Review date September 14 2026</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This is a risk-focused operational and document review, not legal advice or a guarantee against claims. New Jersey counsel should approve the final documents and business rules before publication.</w:t>
            </w:r>
          </w:p>
        </w:tc>
      </w:tr>
    </w:tbl>
    <w:p/>
    <w:p>
      <w:pPr>
        <w:pStyle w:val="Heading1"/>
      </w:pPr>
      <w:r>
        <w:t>Executive conclusion</w:t>
      </w:r>
    </w:p>
    <w:p>
      <w:r>
        <w:t>The AI-generated Privacy Policy is not publishable. It contains blank placeholders, broken text, inaccurate payment and mailing-address claims, and California provisions unrelated to the known operation. The AI-generated Terms are materially better but do not match the website or the owner's intended checkout model. The existing website policies also describe an obsolete third-party ordering flow. The replacement drafts cure the document-level defects, but the controls below must be implemented or confirmed so that the promises remain true in practice.</w:t>
      </w:r>
    </w:p>
    <w:p>
      <w:r>
        <w:t>Confirmed operating decisions: Deaf Shark Coffee, LLC is the stated legal entity and Deaf Shark Coffee is the public brand; the shop is at 900 Green Lane, Union, NJ 07083; help@deafsharkcoffee.com receives legal requests; website orders are pickup only; website orders do not enter Genius POS automatically; Stripe is the selected online payment provider; guest and first account orders will be prepaid; returning account customers may choose online payment or payment at pickup; Twilio will be limited to an optional order-ready text; no personal information is sold; gift cards are physical only and do not expire; and advertising pixels are not currently active.</w:t>
      </w:r>
    </w:p>
    <w:p>
      <w:pPr>
        <w:pStyle w:val="Heading1"/>
      </w:pPr>
      <w:r>
        <w:t>Launch blockers and material risks</w:t>
      </w:r>
    </w:p>
    <w:p>
      <w:pPr>
        <w:pStyle w:val="RiskLabel"/>
      </w:pPr>
      <w:r>
        <w:t>CRITICAL  |  Stripe checkout is not implemented</w:t>
      </w:r>
    </w:p>
    <w:p>
      <w:r>
        <w:t>Finding: Stripe has been selected, but the code still requires an account and offers only pay at pickup. The intended model requires prepaid guest and first-account orders, returning-customer payment choice, refunds, and a disclosed card surcharge.</w:t>
      </w:r>
    </w:p>
    <w:p>
      <w:r>
        <w:rPr>
          <w:b/>
        </w:rPr>
        <w:t xml:space="preserve">Required action: </w:t>
      </w:r>
      <w:r>
        <w:t>Keep prepaid guest checkout disabled until Stripe keys, webhooks, idempotent payment confirmation, refunds, dispute handling, first-order enforcement, and a surcharge no greater than the actual processing cost are implemented and tested. Never create a kitchen ticket from an unverified client-side payment result.</w:t>
      </w:r>
    </w:p>
    <w:p>
      <w:pPr>
        <w:pStyle w:val="RiskLabel"/>
      </w:pPr>
      <w:r>
        <w:t>CRITICAL  |  AI privacy template</w:t>
      </w:r>
    </w:p>
    <w:p>
      <w:r>
        <w:t>Finding: The supplied privacy draft contains literal blanks, corrupted characters, a duplicate heading, false card and mailing-address claims, and copied California language.</w:t>
      </w:r>
    </w:p>
    <w:p>
      <w:r>
        <w:rPr>
          <w:b/>
        </w:rPr>
        <w:t xml:space="preserve">Required action: </w:t>
      </w:r>
      <w:r>
        <w:t>Do not publish it. Replace it with the revised policy and have counsel confirm the entity name and applicable state-law scope.</w:t>
      </w:r>
    </w:p>
    <w:p>
      <w:pPr>
        <w:pStyle w:val="RiskLabel"/>
      </w:pPr>
      <w:r>
        <w:t>IMPLEMENTED  |  Versioned acceptance records</w:t>
      </w:r>
    </w:p>
    <w:p>
      <w:r>
        <w:t>Finding: Signup and renewed acceptance now store the Terms version, Privacy Policy version, acceptance timestamps, and age/guardian confirmation. Ordering is blocked until the current versions are accepted.</w:t>
      </w:r>
    </w:p>
    <w:p>
      <w:r>
        <w:rPr>
          <w:b/>
        </w:rPr>
        <w:t xml:space="preserve">Required action: </w:t>
      </w:r>
      <w:r>
        <w:t>Apply migration 0020 before deployment, test a new account and an older account, and update the version constants whenever either policy materially changes.</w:t>
      </w:r>
    </w:p>
    <w:p>
      <w:pPr>
        <w:pStyle w:val="RiskLabel"/>
      </w:pPr>
      <w:r>
        <w:t>IMPLEMENTED  |  Authenticated export and safe closure</w:t>
      </w:r>
    </w:p>
    <w:p>
      <w:r>
        <w:t>Finding: Account settings now offer an authenticated JSON export and confirmed account closure. Closure revokes access, forfeits points, removes direct profile data, suppresses marketing, and anonymizes retained order records.</w:t>
      </w:r>
    </w:p>
    <w:p>
      <w:r>
        <w:rPr>
          <w:b/>
        </w:rPr>
        <w:t xml:space="preserve">Required action: </w:t>
      </w:r>
      <w:r>
        <w:t>Apply migration 0020, test against a nonproduction copy, maintain a privacy-request log for requests received by email, and have counsel confirm all deletion exceptions.</w:t>
      </w:r>
    </w:p>
    <w:p>
      <w:pPr>
        <w:pStyle w:val="RiskLabel"/>
      </w:pPr>
      <w:r>
        <w:t>HIGH  |  Retention automation remains pending</w:t>
      </w:r>
    </w:p>
    <w:p>
      <w:r>
        <w:t>Finding: A written retention and deletion procedure now exists, but the database still retains orders, contact forms, applications, resumes, and other records indefinitely unless manually removed.</w:t>
      </w:r>
    </w:p>
    <w:p>
      <w:r>
        <w:rPr>
          <w:b/>
        </w:rPr>
        <w:t xml:space="preserve">Required action: </w:t>
      </w:r>
      <w:r>
        <w:t>Have the accountant and New Jersey counsel approve the working schedule, then implement scheduled deletion or anonymization, document backup rotation, and assign an owner to review the process annually.</w:t>
      </w:r>
    </w:p>
    <w:p>
      <w:pPr>
        <w:pStyle w:val="RiskLabel"/>
      </w:pPr>
      <w:r>
        <w:t>HIGH  |  Staff account security</w:t>
      </w:r>
    </w:p>
    <w:p>
      <w:r>
        <w:t>Finding: Admin access is limited by allowlisted staff email addresses, but multifactor authentication is not enforced and the owner indicated individual accounts are optional.</w:t>
      </w:r>
    </w:p>
    <w:p>
      <w:r>
        <w:rPr>
          <w:b/>
        </w:rPr>
        <w:t xml:space="preserve">Required action: </w:t>
      </w:r>
      <w:r>
        <w:t>Require a separate named Google account for every administrator, enforce Google multifactor authentication, prohibit shared credentials, review the allowlist quarterly, and remove access immediately when a staff member leaves.</w:t>
      </w:r>
    </w:p>
    <w:p>
      <w:pPr>
        <w:pStyle w:val="RiskLabel"/>
      </w:pPr>
      <w:r>
        <w:t>HIGH  |  Twilio STOP configuration remains pending</w:t>
      </w:r>
    </w:p>
    <w:p>
      <w:r>
        <w:t>Finding: Checkout now has an optional order-ready checkbox and stores the exact consent text and timestamp. The ready message is sent only for opted-in orders, but Twilio credentials and carrier-level STOP behavior are not yet configured or tested.</w:t>
      </w:r>
    </w:p>
    <w:p>
      <w:r>
        <w:rPr>
          <w:b/>
        </w:rPr>
        <w:t xml:space="preserve">Required action: </w:t>
      </w:r>
      <w:r>
        <w:t>Before enabling Twilio, use a Twilio number or Messaging Service with opt-out handling, test STOP and START end to end, retain suppression, and do not send marketing texts without a separate compliant opt-in.</w:t>
      </w:r>
    </w:p>
    <w:p>
      <w:pPr>
        <w:pStyle w:val="RiskLabel"/>
      </w:pPr>
      <w:r>
        <w:t>HIGH  |  Marketing email compliance</w:t>
      </w:r>
    </w:p>
    <w:p>
      <w:r>
        <w:t>Finding: Account signup can store a marketing opt-in, but campaigns and a working unsubscribe process are not live.</w:t>
      </w:r>
    </w:p>
    <w:p>
      <w:r>
        <w:rPr>
          <w:b/>
        </w:rPr>
        <w:t xml:space="preserve">Required action: </w:t>
      </w:r>
      <w:r>
        <w:t>Before sending promotions, choose a provider, include the shop's postal address, accurate sender information, and a one-step unsubscribe link, maintain suppression records, and honor opt-outs within 10 business days.</w:t>
      </w:r>
    </w:p>
    <w:p>
      <w:pPr>
        <w:pStyle w:val="RiskLabel"/>
      </w:pPr>
      <w:r>
        <w:t>HIGH  |  Future pixels and targeted advertising</w:t>
      </w:r>
    </w:p>
    <w:p>
      <w:r>
        <w:t>Finding: Advertising pixels are not currently active, but the owner plans to add them.</w:t>
      </w:r>
    </w:p>
    <w:p>
      <w:r>
        <w:rPr>
          <w:b/>
        </w:rPr>
        <w:t xml:space="preserve">Required action: </w:t>
      </w:r>
      <w:r>
        <w:t>Do not enable pixels until each vendor and event is inventoried, the policy names the relevant data uses, a consent/choice mechanism is implemented where required, and sensitive fields, order notes, and applicant data are excluded from tracking.</w:t>
      </w:r>
    </w:p>
    <w:p>
      <w:pPr>
        <w:pStyle w:val="RiskLabel"/>
      </w:pPr>
      <w:r>
        <w:t>IMPLEMENTED  |  Teen account attestation</w:t>
      </w:r>
    </w:p>
    <w:p>
      <w:r>
        <w:t>Finding: Signup and renewed acceptance now require confirmation that the user is at least 13 and, if under 18, has parent or guardian permission and involvement.</w:t>
      </w:r>
    </w:p>
    <w:p>
      <w:r>
        <w:rPr>
          <w:b/>
        </w:rPr>
        <w:t xml:space="preserve">Required action: </w:t>
      </w:r>
      <w:r>
        <w:t>Have New Jersey counsel confirm the contract approach for users aged 13 through 17, avoid child-directed marketing, and retain a process for deleting information submitted by a child under 13.</w:t>
      </w:r>
    </w:p>
    <w:p>
      <w:pPr>
        <w:pStyle w:val="RiskLabel"/>
      </w:pPr>
      <w:r>
        <w:t>IMPLEMENTED  |  Incident-response plan</w:t>
      </w:r>
    </w:p>
    <w:p>
      <w:r>
        <w:t>Finding: A written plan now covers reporting, first-hour containment, evidence preservation, vendor escalation, counsel and insurer notice, New Jersey review, communications, recovery, and post-incident work.</w:t>
      </w:r>
    </w:p>
    <w:p>
      <w:r>
        <w:rPr>
          <w:b/>
        </w:rPr>
        <w:t xml:space="preserve">Required action: </w:t>
      </w:r>
      <w:r>
        <w:t>Complete its owner, technical, insurer, counsel, and vendor contact sheet; keep an offline copy; and conduct a tabletop exercise at least annually.</w:t>
      </w:r>
    </w:p>
    <w:p>
      <w:pPr>
        <w:pStyle w:val="RiskLabel"/>
      </w:pPr>
      <w:r>
        <w:t>MODERATE  |  Refund and gift-card operations</w:t>
      </w:r>
    </w:p>
    <w:p>
      <w:r>
        <w:t>Finding: The owner confirmed full refunds only for prepaid cancellation before preparation, all sales final after preparation subject to nonwaivable law, and physical gift cards that never expire.</w:t>
      </w:r>
    </w:p>
    <w:p>
      <w:r>
        <w:rPr>
          <w:b/>
        </w:rPr>
        <w:t xml:space="preserve">Required action: </w:t>
      </w:r>
      <w:r>
        <w:t>Post the same all-sales-final and cancellation policy conspicuously at the register; train staff to record when preparation begins; honor required legal remedies and New Jersey cash redemption for gift-card balances of $5 or less; and display the required gift-card scam notice.</w:t>
      </w:r>
    </w:p>
    <w:p>
      <w:pPr>
        <w:pStyle w:val="RiskLabel"/>
      </w:pPr>
      <w:r>
        <w:t>MODERATE  |  Website accessibility</w:t>
      </w:r>
    </w:p>
    <w:p>
      <w:r>
        <w:t>Finding: A legal-policy rewrite does not establish that ordering, account, and status interfaces are accessible.</w:t>
      </w:r>
    </w:p>
    <w:p>
      <w:r>
        <w:rPr>
          <w:b/>
        </w:rPr>
        <w:t xml:space="preserve">Required action: </w:t>
      </w:r>
      <w:r>
        <w:t>Complete keyboard, screen-reader, focus, contrast, form-error, and zoom testing against WCAG 2.2 AA, prioritizing checkout and account flows.</w:t>
      </w:r>
    </w:p>
    <w:p>
      <w:pPr>
        <w:pStyle w:val="RiskLabel"/>
      </w:pPr>
      <w:r>
        <w:t>MODERATE  |  Entity verification</w:t>
      </w:r>
    </w:p>
    <w:p>
      <w:r>
        <w:t>Finding: The LLC name is presently supported only by the supplied AI documents.</w:t>
      </w:r>
    </w:p>
    <w:p>
      <w:r>
        <w:rPr>
          <w:b/>
        </w:rPr>
        <w:t xml:space="preserve">Required action: </w:t>
      </w:r>
      <w:r>
        <w:t>Verify the exact registered entity name and any trade-name registration against formation, tax, banking, lease, or insurance records before the entity is represented in the contract.</w:t>
      </w:r>
    </w:p>
    <w:p>
      <w:pPr>
        <w:pStyle w:val="Heading1"/>
      </w:pPr>
      <w:r>
        <w:t>Recommended internal retention schedule</w:t>
      </w:r>
    </w:p>
    <w:p>
      <w:r>
        <w:t>This schedule is a practical risk-control recommendation and should be confirmed with the company's accountant, insurer, and attorney before automation deletes records.</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shd w:fill="0D5F5C"/>
          </w:tcPr>
          <w:p>
            <w:r>
              <w:rPr>
                <w:b/>
                <w:color w:val="FFFFFF"/>
              </w:rPr>
              <w:t>Record</w:t>
            </w:r>
          </w:p>
        </w:tc>
        <w:tc>
          <w:tcPr>
            <w:tcW w:type="dxa" w:w="3331"/>
            <w:shd w:fill="0D5F5C"/>
          </w:tcPr>
          <w:p>
            <w:r>
              <w:rPr>
                <w:b/>
                <w:color w:val="FFFFFF"/>
              </w:rPr>
              <w:t>Recommended period</w:t>
            </w:r>
          </w:p>
        </w:tc>
        <w:tc>
          <w:tcPr>
            <w:tcW w:type="dxa" w:w="3331"/>
            <w:shd w:fill="0D5F5C"/>
          </w:tcPr>
          <w:p>
            <w:r>
              <w:rPr>
                <w:b/>
                <w:color w:val="FFFFFF"/>
              </w:rPr>
              <w:t>Disposition</w:t>
            </w:r>
          </w:p>
        </w:tc>
      </w:tr>
      <w:tr>
        <w:trPr>
          <w:cantSplit/>
        </w:trPr>
        <w:tc>
          <w:tcPr>
            <w:tcW w:type="dxa" w:w="3331"/>
          </w:tcPr>
          <w:p>
            <w:r>
              <w:t>Active account and profile</w:t>
            </w:r>
          </w:p>
        </w:tc>
        <w:tc>
          <w:tcPr>
            <w:tcW w:type="dxa" w:w="3331"/>
          </w:tcPr>
          <w:p>
            <w:r>
              <w:t>While active</w:t>
            </w:r>
          </w:p>
        </w:tc>
        <w:tc>
          <w:tcPr>
            <w:tcW w:type="dxa" w:w="3331"/>
          </w:tcPr>
          <w:p>
            <w:r>
              <w:t>Delete or anonymize after verified closure, except separated retained records</w:t>
            </w:r>
          </w:p>
        </w:tc>
      </w:tr>
      <w:tr>
        <w:trPr>
          <w:cantSplit/>
        </w:trPr>
        <w:tc>
          <w:tcPr>
            <w:tcW w:type="dxa" w:w="3331"/>
          </w:tcPr>
          <w:p>
            <w:r>
              <w:t>Orders, refunds, taxes, financial summaries</w:t>
            </w:r>
          </w:p>
        </w:tc>
        <w:tc>
          <w:tcPr>
            <w:tcW w:type="dxa" w:w="3331"/>
          </w:tcPr>
          <w:p>
            <w:r>
              <w:t>7 years</w:t>
            </w:r>
          </w:p>
        </w:tc>
        <w:tc>
          <w:tcPr>
            <w:tcW w:type="dxa" w:w="3331"/>
          </w:tcPr>
          <w:p>
            <w:r>
              <w:t>Retain minimum transaction details; anonymize customer identifiers earlier when feasible</w:t>
            </w:r>
          </w:p>
        </w:tc>
      </w:tr>
      <w:tr>
        <w:trPr>
          <w:cantSplit/>
        </w:trPr>
        <w:tc>
          <w:tcPr>
            <w:tcW w:type="dxa" w:w="3331"/>
          </w:tcPr>
          <w:p>
            <w:r>
              <w:t>Loyalty, referral, student and birthday data</w:t>
            </w:r>
          </w:p>
        </w:tc>
        <w:tc>
          <w:tcPr>
            <w:tcW w:type="dxa" w:w="3331"/>
          </w:tcPr>
          <w:p>
            <w:r>
              <w:t>Account life plus 30 days</w:t>
            </w:r>
          </w:p>
        </w:tc>
        <w:tc>
          <w:tcPr>
            <w:tcW w:type="dxa" w:w="3331"/>
          </w:tcPr>
          <w:p>
            <w:r>
              <w:t>Delete after closure unless needed for fraud or dispute records</w:t>
            </w:r>
          </w:p>
        </w:tc>
      </w:tr>
      <w:tr>
        <w:trPr>
          <w:cantSplit/>
        </w:trPr>
        <w:tc>
          <w:tcPr>
            <w:tcW w:type="dxa" w:w="3331"/>
          </w:tcPr>
          <w:p>
            <w:r>
              <w:t>Contact inquiries</w:t>
            </w:r>
          </w:p>
        </w:tc>
        <w:tc>
          <w:tcPr>
            <w:tcW w:type="dxa" w:w="3331"/>
          </w:tcPr>
          <w:p>
            <w:r>
              <w:t>2 years after closure</w:t>
            </w:r>
          </w:p>
        </w:tc>
        <w:tc>
          <w:tcPr>
            <w:tcW w:type="dxa" w:w="3331"/>
          </w:tcPr>
          <w:p>
            <w:r>
              <w:t>Delete or anonymize</w:t>
            </w:r>
          </w:p>
        </w:tc>
      </w:tr>
      <w:tr>
        <w:trPr>
          <w:cantSplit/>
        </w:trPr>
        <w:tc>
          <w:tcPr>
            <w:tcW w:type="dxa" w:w="3331"/>
          </w:tcPr>
          <w:p>
            <w:r>
              <w:t>Unsuccessful job applications and resumes</w:t>
            </w:r>
          </w:p>
        </w:tc>
        <w:tc>
          <w:tcPr>
            <w:tcW w:type="dxa" w:w="3331"/>
          </w:tcPr>
          <w:p>
            <w:r>
              <w:t>2 years</w:t>
            </w:r>
          </w:p>
        </w:tc>
        <w:tc>
          <w:tcPr>
            <w:tcW w:type="dxa" w:w="3331"/>
          </w:tcPr>
          <w:p>
            <w:r>
              <w:t>Securely delete from D1 and R2; hired records move to the personnel file</w:t>
            </w:r>
          </w:p>
        </w:tc>
      </w:tr>
      <w:tr>
        <w:trPr>
          <w:cantSplit/>
        </w:trPr>
        <w:tc>
          <w:tcPr>
            <w:tcW w:type="dxa" w:w="3331"/>
          </w:tcPr>
          <w:p>
            <w:r>
              <w:t>Marketing consent and suppression</w:t>
            </w:r>
          </w:p>
        </w:tc>
        <w:tc>
          <w:tcPr>
            <w:tcW w:type="dxa" w:w="3331"/>
          </w:tcPr>
          <w:p>
            <w:r>
              <w:t>While subscribed; suppression record as needed</w:t>
            </w:r>
          </w:p>
        </w:tc>
        <w:tc>
          <w:tcPr>
            <w:tcW w:type="dxa" w:w="3331"/>
          </w:tcPr>
          <w:p>
            <w:r>
              <w:t>Keep only the minimum proof needed to honor opt-out</w:t>
            </w:r>
          </w:p>
        </w:tc>
      </w:tr>
      <w:tr>
        <w:trPr>
          <w:cantSplit/>
        </w:trPr>
        <w:tc>
          <w:tcPr>
            <w:tcW w:type="dxa" w:w="3331"/>
          </w:tcPr>
          <w:p>
            <w:r>
              <w:t>Expired sessions and verification tokens</w:t>
            </w:r>
          </w:p>
        </w:tc>
        <w:tc>
          <w:tcPr>
            <w:tcW w:type="dxa" w:w="3331"/>
          </w:tcPr>
          <w:p>
            <w:r>
              <w:t>90 days after expiration</w:t>
            </w:r>
          </w:p>
        </w:tc>
        <w:tc>
          <w:tcPr>
            <w:tcW w:type="dxa" w:w="3331"/>
          </w:tcPr>
          <w:p>
            <w:r>
              <w:t>Delete</w:t>
            </w:r>
          </w:p>
        </w:tc>
      </w:tr>
      <w:tr>
        <w:trPr>
          <w:cantSplit/>
        </w:trPr>
        <w:tc>
          <w:tcPr>
            <w:tcW w:type="dxa" w:w="3331"/>
          </w:tcPr>
          <w:p>
            <w:r>
              <w:t>Security and access logs</w:t>
            </w:r>
          </w:p>
        </w:tc>
        <w:tc>
          <w:tcPr>
            <w:tcW w:type="dxa" w:w="3331"/>
          </w:tcPr>
          <w:p>
            <w:r>
              <w:t>Up to 12 months unless investigating an incident</w:t>
            </w:r>
          </w:p>
        </w:tc>
        <w:tc>
          <w:tcPr>
            <w:tcW w:type="dxa" w:w="3331"/>
          </w:tcPr>
          <w:p>
            <w:r>
              <w:t>Delete or aggregate</w:t>
            </w:r>
          </w:p>
        </w:tc>
      </w:tr>
      <w:tr>
        <w:trPr>
          <w:cantSplit/>
        </w:trPr>
        <w:tc>
          <w:tcPr>
            <w:tcW w:type="dxa" w:w="3331"/>
          </w:tcPr>
          <w:p>
            <w:r>
              <w:t>Backups</w:t>
            </w:r>
          </w:p>
        </w:tc>
        <w:tc>
          <w:tcPr>
            <w:tcW w:type="dxa" w:w="3331"/>
          </w:tcPr>
          <w:p>
            <w:r>
              <w:t>Documented rolling window, preferably 35 to 90 days</w:t>
            </w:r>
          </w:p>
        </w:tc>
        <w:tc>
          <w:tcPr>
            <w:tcW w:type="dxa" w:w="3331"/>
          </w:tcPr>
          <w:p>
            <w:r>
              <w:t>Expire automatically and test restoration/deletion procedures</w:t>
            </w:r>
          </w:p>
        </w:tc>
      </w:tr>
    </w:tbl>
    <w:p>
      <w:r>
        <w:br w:type="page"/>
      </w:r>
    </w:p>
    <w:p>
      <w:pPr>
        <w:pStyle w:val="Heading1"/>
      </w:pPr>
      <w:r>
        <w:t>New Jersey privacy-law scope</w:t>
      </w:r>
    </w:p>
    <w:p>
      <w:r>
        <w:t>Based on the owner's expectation of a small customer base and the confirmation that Deaf Shark does not sell personal information, the New Jersey Data Privacy Act likely does not presently apply because it generally reaches businesses processing at least 100,000 consumers, or at least 25,000 consumers while receiving revenue or a discount from selling personal data. This must be reassessed annually and before targeted advertising or data-sharing practices change. Even when that statute does not apply, public privacy promises should remain accurate and security, breach, consumer-protection, communications, employment, and contract laws still matter.</w:t>
      </w:r>
    </w:p>
    <w:p>
      <w:pPr>
        <w:pStyle w:val="Heading1"/>
      </w:pPr>
      <w:r>
        <w:t>Redline summary</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4997"/>
            <w:shd w:fill="0D5F5C"/>
          </w:tcPr>
          <w:p>
            <w:r>
              <w:rPr>
                <w:b/>
                <w:color w:val="FFFFFF"/>
              </w:rPr>
              <w:t>Area</w:t>
            </w:r>
          </w:p>
        </w:tc>
        <w:tc>
          <w:tcPr>
            <w:tcW w:type="dxa" w:w="4997"/>
            <w:shd w:fill="0D5F5C"/>
          </w:tcPr>
          <w:p>
            <w:r>
              <w:rPr>
                <w:b/>
                <w:color w:val="FFFFFF"/>
              </w:rPr>
              <w:t>Material revision</w:t>
            </w:r>
          </w:p>
        </w:tc>
      </w:tr>
      <w:tr>
        <w:trPr>
          <w:cantSplit/>
        </w:trPr>
        <w:tc>
          <w:tcPr>
            <w:tcW w:type="dxa" w:w="4997"/>
          </w:tcPr>
          <w:p>
            <w:r>
              <w:t>Privacy scope</w:t>
            </w:r>
          </w:p>
        </w:tc>
        <w:tc>
          <w:tcPr>
            <w:tcW w:type="dxa" w:w="4997"/>
          </w:tcPr>
          <w:p>
            <w:r>
              <w:t>Removed generic e-commerce and consent-by-use language; described the actual website, account, ordering, loyalty, student, application, and communications flows.</w:t>
            </w:r>
          </w:p>
        </w:tc>
      </w:tr>
      <w:tr>
        <w:trPr>
          <w:cantSplit/>
        </w:trPr>
        <w:tc>
          <w:tcPr>
            <w:tcW w:type="dxa" w:w="4997"/>
          </w:tcPr>
          <w:p>
            <w:r>
              <w:t>Payment claims</w:t>
            </w:r>
          </w:p>
        </w:tc>
        <w:tc>
          <w:tcPr>
            <w:tcW w:type="dxa" w:w="4997"/>
          </w:tcPr>
          <w:p>
            <w:r>
              <w:t>Named Stripe as the selected processor, avoided claiming that Deaf Shark stores full card credentials, and added the actual-cost ceiling and advance disclosure for a credit-card surcharge.</w:t>
            </w:r>
          </w:p>
        </w:tc>
      </w:tr>
      <w:tr>
        <w:trPr>
          <w:cantSplit/>
        </w:trPr>
        <w:tc>
          <w:tcPr>
            <w:tcW w:type="dxa" w:w="4997"/>
          </w:tcPr>
          <w:p>
            <w:r>
              <w:t>California template</w:t>
            </w:r>
          </w:p>
        </w:tc>
        <w:tc>
          <w:tcPr>
            <w:tcW w:type="dxa" w:w="4997"/>
          </w:tcPr>
          <w:p>
            <w:r>
              <w:t>Removed blank CCPA sale/opt-out text and replaced it with location-neutral request language plus a threshold review note in this audit.</w:t>
            </w:r>
          </w:p>
        </w:tc>
      </w:tr>
      <w:tr>
        <w:trPr>
          <w:cantSplit/>
        </w:trPr>
        <w:tc>
          <w:tcPr>
            <w:tcW w:type="dxa" w:w="4997"/>
          </w:tcPr>
          <w:p>
            <w:r>
              <w:t>Data categories</w:t>
            </w:r>
          </w:p>
        </w:tc>
        <w:tc>
          <w:tcPr>
            <w:tcW w:type="dxa" w:w="4997"/>
          </w:tcPr>
          <w:p>
            <w:r>
              <w:t>Added order customizations, phone numbers, IP/user agent, sessions, Google sign-in, birthday, Kean verification, referrals, applications, resumes, consent records, and security data.</w:t>
            </w:r>
          </w:p>
        </w:tc>
      </w:tr>
      <w:tr>
        <w:trPr>
          <w:cantSplit/>
        </w:trPr>
        <w:tc>
          <w:tcPr>
            <w:tcW w:type="dxa" w:w="4997"/>
          </w:tcPr>
          <w:p>
            <w:r>
              <w:t>Vendors</w:t>
            </w:r>
          </w:p>
        </w:tc>
        <w:tc>
          <w:tcPr>
            <w:tcW w:type="dxa" w:w="4997"/>
          </w:tcPr>
          <w:p>
            <w:r>
              <w:t>Added Cloudflare, Google, email delivery, Twilio, and Stripe; prohibited present advertising-pixel claims.</w:t>
            </w:r>
          </w:p>
        </w:tc>
      </w:tr>
      <w:tr>
        <w:trPr>
          <w:cantSplit/>
        </w:trPr>
        <w:tc>
          <w:tcPr>
            <w:tcW w:type="dxa" w:w="4997"/>
          </w:tcPr>
          <w:p>
            <w:r>
              <w:t>Terms eligibility</w:t>
            </w:r>
          </w:p>
        </w:tc>
        <w:tc>
          <w:tcPr>
            <w:tcW w:type="dxa" w:w="4997"/>
          </w:tcPr>
          <w:p>
            <w:r>
              <w:t>Changed account age from 18 to 13, prohibited under-13 accounts, and added parent/guardian involvement for ages 13 through 17.</w:t>
            </w:r>
          </w:p>
        </w:tc>
      </w:tr>
      <w:tr>
        <w:trPr>
          <w:cantSplit/>
        </w:trPr>
        <w:tc>
          <w:tcPr>
            <w:tcW w:type="dxa" w:w="4997"/>
          </w:tcPr>
          <w:p>
            <w:r>
              <w:t>Ordering</w:t>
            </w:r>
          </w:p>
        </w:tc>
        <w:tc>
          <w:tcPr>
            <w:tcW w:type="dxa" w:w="4997"/>
          </w:tcPr>
          <w:p>
            <w:r>
              <w:t>Replaced optional-account/guest promises with conditional guest checkout and conditional first-order online payment language.</w:t>
            </w:r>
          </w:p>
        </w:tc>
      </w:tr>
      <w:tr>
        <w:trPr>
          <w:cantSplit/>
        </w:trPr>
        <w:tc>
          <w:tcPr>
            <w:tcW w:type="dxa" w:w="4997"/>
          </w:tcPr>
          <w:p>
            <w:r>
              <w:t>Programs</w:t>
            </w:r>
          </w:p>
        </w:tc>
        <w:tc>
          <w:tcPr>
            <w:tcW w:type="dxa" w:w="4997"/>
          </w:tcPr>
          <w:p>
            <w:r>
              <w:t>Aligned Terms with the 10% Kean discount, $8 birthday drink, referrals, welcome offers, promotions, and website rewards records.</w:t>
            </w:r>
          </w:p>
        </w:tc>
      </w:tr>
      <w:tr>
        <w:trPr>
          <w:cantSplit/>
        </w:trPr>
        <w:tc>
          <w:tcPr>
            <w:tcW w:type="dxa" w:w="4997"/>
          </w:tcPr>
          <w:p>
            <w:r>
              <w:t>Consumer policies</w:t>
            </w:r>
          </w:p>
        </w:tc>
        <w:tc>
          <w:tcPr>
            <w:tcW w:type="dxa" w:w="4997"/>
          </w:tcPr>
          <w:p>
            <w:r>
              <w:t>Added the before-preparation cancellation cutoff, all-sales-final rule with nonwaivable-law protection, physical gift-card terms, 12-month point-lot expiration, point forfeiture on closure, no-stacking rule, and surcharge disclosure.</w:t>
            </w:r>
          </w:p>
        </w:tc>
      </w:tr>
      <w:tr>
        <w:trPr>
          <w:cantSplit/>
        </w:trPr>
        <w:tc>
          <w:tcPr>
            <w:tcW w:type="dxa" w:w="4997"/>
          </w:tcPr>
          <w:p>
            <w:r>
              <w:t>Disputes</w:t>
            </w:r>
          </w:p>
        </w:tc>
        <w:tc>
          <w:tcPr>
            <w:tcW w:type="dxa" w:w="4997"/>
          </w:tcPr>
          <w:p>
            <w:r>
              <w:t>Kept New Jersey courts and small claims; did not add arbitration, a class-action waiver, or a direct-damages cap without attorney review.</w:t>
            </w:r>
          </w:p>
        </w:tc>
      </w:tr>
    </w:tbl>
    <w:p>
      <w:pPr>
        <w:pStyle w:val="Heading1"/>
      </w:pPr>
      <w:r>
        <w:t>Primary sources reviewed</w:t>
      </w:r>
    </w:p>
    <w:p>
      <w:pPr>
        <w:pStyle w:val="ListBullet"/>
      </w:pPr>
      <w:hyperlink r:id="rId11">
        <w:r>
          <w:rPr>
            <w:color w:val="0D5F5C"/>
            <w:u w:val="single"/>
          </w:rPr>
          <w:t>New Jersey Data Privacy Act, P.L. 2023, c.266</w:t>
        </w:r>
      </w:hyperlink>
    </w:p>
    <w:p>
      <w:pPr>
        <w:pStyle w:val="ListBullet"/>
      </w:pPr>
      <w:hyperlink r:id="rId12">
        <w:r>
          <w:rPr>
            <w:color w:val="0D5F5C"/>
            <w:u w:val="single"/>
          </w:rPr>
          <w:t>FTC CAN-SPAM compliance guide</w:t>
        </w:r>
      </w:hyperlink>
    </w:p>
    <w:p>
      <w:pPr>
        <w:pStyle w:val="ListBullet"/>
      </w:pPr>
      <w:hyperlink r:id="rId13">
        <w:r>
          <w:rPr>
            <w:color w:val="0D5F5C"/>
            <w:u w:val="single"/>
          </w:rPr>
          <w:t>FTC COPPA compliance questions</w:t>
        </w:r>
      </w:hyperlink>
    </w:p>
    <w:p>
      <w:pPr>
        <w:pStyle w:val="ListBullet"/>
      </w:pPr>
      <w:hyperlink r:id="rId14">
        <w:r>
          <w:rPr>
            <w:color w:val="0D5F5C"/>
            <w:u w:val="single"/>
          </w:rPr>
          <w:t>FTC Protecting Personal Information guide</w:t>
        </w:r>
      </w:hyperlink>
    </w:p>
    <w:p>
      <w:pPr>
        <w:pStyle w:val="ListBullet"/>
      </w:pPr>
      <w:hyperlink r:id="rId15">
        <w:r>
          <w:rPr>
            <w:color w:val="0D5F5C"/>
            <w:u w:val="single"/>
          </w:rPr>
          <w:t>New Jersey State Police breach-reporting guidance</w:t>
        </w:r>
      </w:hyperlink>
    </w:p>
    <w:p>
      <w:pPr>
        <w:pStyle w:val="ListBullet"/>
      </w:pPr>
      <w:hyperlink r:id="rId16">
        <w:r>
          <w:rPr>
            <w:color w:val="0D5F5C"/>
            <w:u w:val="single"/>
          </w:rPr>
          <w:t>New Jersey refund-policy disclosure guide</w:t>
        </w:r>
      </w:hyperlink>
    </w:p>
    <w:p>
      <w:pPr>
        <w:pStyle w:val="ListBullet"/>
      </w:pPr>
      <w:hyperlink r:id="rId17">
        <w:r>
          <w:rPr>
            <w:color w:val="0D5F5C"/>
            <w:u w:val="single"/>
          </w:rPr>
          <w:t>New Jersey gift-card consumer guide</w:t>
        </w:r>
      </w:hyperlink>
    </w:p>
    <w:p>
      <w:pPr>
        <w:pStyle w:val="ListBullet"/>
      </w:pPr>
      <w:hyperlink r:id="rId18">
        <w:r>
          <w:rPr>
            <w:color w:val="0D5F5C"/>
            <w:u w:val="single"/>
          </w:rPr>
          <w:t>New Jersey cash-payment statute, P.L. 2021, c.28</w:t>
        </w:r>
      </w:hyperlink>
    </w:p>
    <w:p>
      <w:pPr>
        <w:pStyle w:val="ListBullet"/>
      </w:pPr>
      <w:hyperlink r:id="rId19">
        <w:r>
          <w:rPr>
            <w:color w:val="0D5F5C"/>
            <w:u w:val="single"/>
          </w:rPr>
          <w:t>New Jersey credit-card surcharge statute, P.L. 2023, c.146</w:t>
        </w:r>
      </w:hyperlink>
    </w:p>
    <w:p>
      <w:pPr>
        <w:pStyle w:val="ListBullet"/>
      </w:pPr>
      <w:hyperlink r:id="rId20">
        <w:r>
          <w:rPr>
            <w:color w:val="0D5F5C"/>
            <w:u w:val="single"/>
          </w:rPr>
          <w:t>U.S. Department of Justice web accessibility guidance</w:t>
        </w:r>
      </w:hyperlink>
    </w:p>
    <w:p>
      <w:pPr>
        <w:pStyle w:val="ListBullet"/>
      </w:pPr>
      <w:hyperlink r:id="rId21">
        <w:r>
          <w:rPr>
            <w:color w:val="0D5F5C"/>
            <w:u w:val="single"/>
          </w:rPr>
          <w:t>EEOC employment-record retention requirements</w:t>
        </w:r>
      </w:hyperlink>
    </w:p>
    <w:p>
      <w:pPr>
        <w:pStyle w:val="Heading1"/>
      </w:pPr>
      <w:r>
        <w:t>Attorney review questions</w:t>
      </w:r>
    </w:p>
    <w:p>
      <w:r>
        <w:t>Ask New Jersey counsel to confirm: the exact entity and trade name; treatment of contracts with customers aged 13 through 17; refund and no-show rules for prepaid prepared food; rewards amendment and forfeiture language; gift-card operations and notices; privacy-request exceptions and retention periods; online-payment processor terms; and whether additional county, municipal, employment, or food-service rules apply.</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attorney review  |  </w:t>
    </w:r>
    <w:r>
      <w:rPr>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D1A12"/>
      </w:rPr>
      <w:t>DEAF SHARK COFFEE  |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1A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2D1A1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5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Georgia" w:hAnsi="Georgia"/>
      <w:b w:val="0"/>
      <w:color w:val="2D1A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Label">
    <w:name w:val="Risk Label"/>
    <w:pPr>
      <w:spacing w:after="40"/>
    </w:pPr>
    <w:rPr>
      <w:rFonts w:ascii="Aptos" w:hAnsi="Aptos"/>
      <w:b/>
      <w:color w:val="9E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njleg.state.nj.us/Bills/2022/PL23/266_.PDF" TargetMode="External"/><Relationship Id="rId12" Type="http://schemas.openxmlformats.org/officeDocument/2006/relationships/hyperlink" Target="https://www.ftc.gov/business-guidance/resources/can-spam-act-compliance-guide-business" TargetMode="External"/><Relationship Id="rId13" Type="http://schemas.openxmlformats.org/officeDocument/2006/relationships/hyperlink" Target="https://www.ftc.gov/business-guidance/resources/complying-coppa-frequently-asked-questions" TargetMode="External"/><Relationship Id="rId14" Type="http://schemas.openxmlformats.org/officeDocument/2006/relationships/hyperlink" Target="https://www.ftc.gov/business-guidance/resources/protecting-personal-information-guide-business" TargetMode="External"/><Relationship Id="rId15" Type="http://schemas.openxmlformats.org/officeDocument/2006/relationships/hyperlink" Target="https://www.nj.gov/lps/njsp/division/investigations/cyber-crimes.shtml" TargetMode="External"/><Relationship Id="rId16" Type="http://schemas.openxmlformats.org/officeDocument/2006/relationships/hyperlink" Target="https://www.njconsumeraffairs.gov/News/Consumer%20Briefs/refund-policy-disclosures.pdf" TargetMode="External"/><Relationship Id="rId17" Type="http://schemas.openxmlformats.org/officeDocument/2006/relationships/hyperlink" Target="https://www.njconsumeraffairs.gov/News/Consumer%20Briefs/gift-cards-and-gift-certificates.pdf" TargetMode="External"/><Relationship Id="rId18" Type="http://schemas.openxmlformats.org/officeDocument/2006/relationships/hyperlink" Target="https://pub.njleg.state.nj.us/Bills/2020/PL21/28_.HTM" TargetMode="External"/><Relationship Id="rId19" Type="http://schemas.openxmlformats.org/officeDocument/2006/relationships/hyperlink" Target="https://pub.njleg.state.nj.us/Bills/2022/PL23/146_.HTM" TargetMode="External"/><Relationship Id="rId20" Type="http://schemas.openxmlformats.org/officeDocument/2006/relationships/hyperlink" Target="https://www.justice.gov/archives/opa/pr/justice-department-issues-web-accessibility-guidance-under-americans-disabilities-act" TargetMode="External"/><Relationship Id="rId21" Type="http://schemas.openxmlformats.org/officeDocument/2006/relationships/hyperlink" Target="https://www.eeoc.gov/employers/recordkeeping-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