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171d620f5ece2885592bc773987e6960afed0e2"/>
    <w:p>
      <w:pPr>
        <w:pStyle w:val="Heading1"/>
      </w:pPr>
      <w:r>
        <w:rPr>
          <w:b/>
          <w:bCs/>
        </w:rPr>
        <w:t xml:space="preserve">AI Platform – Scope &amp; Capability Testing Document</w:t>
      </w:r>
    </w:p>
    <w:p>
      <w:r>
        <w:pict>
          <v:rect style="width:0;height:1.5pt" o:hralign="center" o:hrstd="t" o:hr="t"/>
        </w:pict>
      </w:r>
    </w:p>
    <w:bookmarkStart w:id="20" w:name="X508e203ae3360e04ac1ba366c0a3cb0d618c0cf"/>
    <w:p>
      <w:pPr>
        <w:pStyle w:val="Heading2"/>
      </w:pPr>
      <w:r>
        <w:rPr>
          <w:b/>
          <w:bCs/>
        </w:rPr>
        <w:t xml:space="preserve">1. Multi-Tenancy and Multi-Project Architecture</w:t>
      </w:r>
    </w:p>
    <w:p>
      <w:pPr>
        <w:pStyle w:val="Compact"/>
        <w:numPr>
          <w:ilvl w:val="0"/>
          <w:numId w:val="1001"/>
        </w:numPr>
      </w:pPr>
      <w:r>
        <w:t xml:space="preserve">Segregate business units, environments, and data domains to achieve isolation while supporting centralized infrastructure creation.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Standardize reusable Terraform modules or Deployment Manager templates for consistent project setup.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Enable shared service projects for logging, monitoring, and networking.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Maintain the ability to</w:t>
      </w:r>
      <w:r>
        <w:t xml:space="preserve"> </w:t>
      </w:r>
      <w:r>
        <w:rPr>
          <w:b/>
          <w:bCs/>
        </w:rPr>
        <w:t xml:space="preserve">disintegrate</w:t>
      </w:r>
      <w:r>
        <w:t xml:space="preserve"> </w:t>
      </w:r>
      <w:r>
        <w:t xml:space="preserve">(detach) any project without breaking dependencies or shared components.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Include IAM hierarchy and folder-level policies for least-privilege access.</w:t>
      </w:r>
    </w:p>
    <w:p>
      <w:r>
        <w:pict>
          <v:rect style="width:0;height:1.5pt" o:hralign="center" o:hrstd="t" o:hr="t"/>
        </w:pict>
      </w:r>
    </w:p>
    <w:bookmarkEnd w:id="20"/>
    <w:bookmarkStart w:id="21" w:name="hybrid-architecture-approach"/>
    <w:p>
      <w:pPr>
        <w:pStyle w:val="Heading2"/>
      </w:pPr>
      <w:r>
        <w:rPr>
          <w:b/>
          <w:bCs/>
        </w:rPr>
        <w:t xml:space="preserve">2. Hybrid Architecture Approach</w:t>
      </w:r>
    </w:p>
    <w:p>
      <w:pPr>
        <w:pStyle w:val="Compact"/>
        <w:numPr>
          <w:ilvl w:val="0"/>
          <w:numId w:val="1002"/>
        </w:numPr>
      </w:pPr>
      <w:r>
        <w:t xml:space="preserve">Support hybrid deployments across</w:t>
      </w:r>
      <w:r>
        <w:t xml:space="preserve"> </w:t>
      </w:r>
      <w:r>
        <w:rPr>
          <w:b/>
          <w:bCs/>
        </w:rPr>
        <w:t xml:space="preserve">Kubernetes (GKE + unmanaged clusters)</w:t>
      </w:r>
      <w:r>
        <w:t xml:space="preserve"> </w:t>
      </w:r>
      <w:r>
        <w:t xml:space="preserve">with integrated</w:t>
      </w:r>
      <w:r>
        <w:t xml:space="preserve"> </w:t>
      </w:r>
      <w:r>
        <w:rPr>
          <w:b/>
          <w:bCs/>
        </w:rPr>
        <w:t xml:space="preserve">MLOps and GenAI lifecycle management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Allow flexibility between</w:t>
      </w:r>
      <w:r>
        <w:t xml:space="preserve"> </w:t>
      </w:r>
      <w:r>
        <w:rPr>
          <w:b/>
          <w:bCs/>
        </w:rPr>
        <w:t xml:space="preserve">managed and unmanaged AI services</w:t>
      </w:r>
      <w:r>
        <w:t xml:space="preserve"> </w:t>
      </w:r>
      <w:r>
        <w:t xml:space="preserve">(Vertex AI, Bedrock, custom containers).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Ensure consistent networking, secrets management, and service mesh across both.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Support deployment on multi-cloud or edge as per regulatory or latency needs.</w:t>
      </w:r>
    </w:p>
    <w:p>
      <w:r>
        <w:pict>
          <v:rect style="width:0;height:1.5pt" o:hralign="center" o:hrstd="t" o:hr="t"/>
        </w:pict>
      </w:r>
    </w:p>
    <w:bookmarkEnd w:id="21"/>
    <w:bookmarkStart w:id="22" w:name="tool-integration"/>
    <w:p>
      <w:pPr>
        <w:pStyle w:val="Heading2"/>
      </w:pPr>
      <w:r>
        <w:rPr>
          <w:b/>
          <w:bCs/>
        </w:rPr>
        <w:t xml:space="preserve">3. Tool Integration</w:t>
      </w:r>
    </w:p>
    <w:p>
      <w:pPr>
        <w:pStyle w:val="Compact"/>
        <w:numPr>
          <w:ilvl w:val="0"/>
          <w:numId w:val="1003"/>
        </w:numPr>
      </w:pPr>
      <w:r>
        <w:t xml:space="preserve">Integrate with existing enterprise tools such as: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Fiddler</w:t>
      </w:r>
      <w:r>
        <w:t xml:space="preserve"> </w:t>
      </w:r>
      <w:r>
        <w:t xml:space="preserve">– for model observability and explainability.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Tonic</w:t>
      </w:r>
      <w:r>
        <w:t xml:space="preserve"> </w:t>
      </w:r>
      <w:r>
        <w:t xml:space="preserve">– for synthetic data generation and privacy-preserving testing.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LangSmith / Fiddler AI / Model Armor</w:t>
      </w:r>
      <w:r>
        <w:t xml:space="preserve"> </w:t>
      </w:r>
      <w:r>
        <w:t xml:space="preserve">– for LLM observability and safety metrics.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Enable API gateway integration (Apigee X / Kong) for consistent policy enforcement, throttling, and audit logging across all endpoints.</w:t>
      </w:r>
    </w:p>
    <w:p>
      <w:r>
        <w:pict>
          <v:rect style="width:0;height:1.5pt" o:hralign="center" o:hrstd="t" o:hr="t"/>
        </w:pict>
      </w:r>
    </w:p>
    <w:bookmarkEnd w:id="22"/>
    <w:bookmarkStart w:id="23" w:name="cicd-pipeline-integration"/>
    <w:p>
      <w:pPr>
        <w:pStyle w:val="Heading2"/>
      </w:pPr>
      <w:r>
        <w:rPr>
          <w:b/>
          <w:bCs/>
        </w:rPr>
        <w:t xml:space="preserve">4. CI/CD Pipeline Integration</w:t>
      </w:r>
    </w:p>
    <w:p>
      <w:pPr>
        <w:pStyle w:val="Compact"/>
        <w:numPr>
          <w:ilvl w:val="0"/>
          <w:numId w:val="1005"/>
        </w:numPr>
      </w:pPr>
      <w:r>
        <w:t xml:space="preserve">Integrate</w:t>
      </w:r>
      <w:r>
        <w:t xml:space="preserve"> </w:t>
      </w:r>
      <w:r>
        <w:rPr>
          <w:b/>
          <w:bCs/>
        </w:rPr>
        <w:t xml:space="preserve">Harness.io</w:t>
      </w:r>
      <w:r>
        <w:t xml:space="preserve"> </w:t>
      </w:r>
      <w:r>
        <w:t xml:space="preserve">for build, train, deploy, and rollback of models and AI services.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Support GitOps workflows for declarative deployments (Argo CD / Cloud Build).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Automate environment provisioning and teardown for MLOps and LLMOps pipelines.</w:t>
      </w:r>
    </w:p>
    <w:p>
      <w:r>
        <w:pict>
          <v:rect style="width:0;height:1.5pt" o:hralign="center" o:hrstd="t" o:hr="t"/>
        </w:pict>
      </w:r>
    </w:p>
    <w:bookmarkEnd w:id="23"/>
    <w:bookmarkStart w:id="24" w:name="use-case-scope"/>
    <w:p>
      <w:pPr>
        <w:pStyle w:val="Heading2"/>
      </w:pPr>
      <w:r>
        <w:rPr>
          <w:b/>
          <w:bCs/>
        </w:rPr>
        <w:t xml:space="preserve">5. Use Case Scope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Phase 1:</w:t>
      </w:r>
      <w:r>
        <w:t xml:space="preserve"> </w:t>
      </w:r>
      <w:r>
        <w:t xml:space="preserve">Batch prediction ML pipeline to validate end-to-end MLOps functionality.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Phase 2:</w:t>
      </w:r>
      <w:r>
        <w:t xml:space="preserve"> </w:t>
      </w:r>
      <w:r>
        <w:t xml:space="preserve">Multi-agentic GenAI use case to validate orchestration, reasoning, and retrieval-augmented generation (RAG).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Phase 3:</w:t>
      </w:r>
      <w:r>
        <w:t xml:space="preserve"> </w:t>
      </w:r>
      <w:r>
        <w:t xml:space="preserve">Real-time inference and cross-model collaboration for enterprise-wide AI workloads.</w:t>
      </w:r>
    </w:p>
    <w:p>
      <w:r>
        <w:pict>
          <v:rect style="width:0;height:1.5pt" o:hralign="center" o:hrstd="t" o:hr="t"/>
        </w:pict>
      </w:r>
    </w:p>
    <w:bookmarkEnd w:id="24"/>
    <w:bookmarkStart w:id="25" w:name="integration-scalability"/>
    <w:p>
      <w:pPr>
        <w:pStyle w:val="Heading2"/>
      </w:pPr>
      <w:r>
        <w:rPr>
          <w:b/>
          <w:bCs/>
        </w:rPr>
        <w:t xml:space="preserve">6. Integration &amp; Scalability</w:t>
      </w:r>
    </w:p>
    <w:p>
      <w:pPr>
        <w:pStyle w:val="Compact"/>
        <w:numPr>
          <w:ilvl w:val="0"/>
          <w:numId w:val="1007"/>
        </w:numPr>
      </w:pPr>
      <w:r>
        <w:t xml:space="preserve">Comprehensive data integration across:</w:t>
      </w:r>
    </w:p>
    <w:p>
      <w:pPr>
        <w:pStyle w:val="Compact"/>
        <w:numPr>
          <w:ilvl w:val="1"/>
          <w:numId w:val="1008"/>
        </w:numPr>
      </w:pPr>
      <w:r>
        <w:t xml:space="preserve">Streaming (Pub/Sub, Kafka)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Warehouses (BigQuery, Snowflake)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Legacy data systems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Data lakes (Cloud Storage / S3)</w:t>
      </w:r>
    </w:p>
    <w:p>
      <w:pPr>
        <w:pStyle w:val="Compact"/>
        <w:numPr>
          <w:ilvl w:val="0"/>
          <w:numId w:val="1007"/>
        </w:numPr>
      </w:pPr>
      <w:r>
        <w:t xml:space="preserve">Flexible multi-cloud and edge deployments.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Intelligent auto-scaling, cost controls, and event-driven microservices.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Serverless patterns where applicable (Cloud Run / Lambda).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Unified registry for both</w:t>
      </w:r>
      <w:r>
        <w:t xml:space="preserve"> </w:t>
      </w:r>
      <w:r>
        <w:rPr>
          <w:b/>
          <w:bCs/>
        </w:rPr>
        <w:t xml:space="preserve">ML models and LLM configurations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data-knowledge-management"/>
    <w:p>
      <w:pPr>
        <w:pStyle w:val="Heading2"/>
      </w:pPr>
      <w:r>
        <w:rPr>
          <w:b/>
          <w:bCs/>
        </w:rPr>
        <w:t xml:space="preserve">7. Data &amp; Knowledge Management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Feature Store:</w:t>
      </w:r>
      <w:r>
        <w:t xml:space="preserve"> </w:t>
      </w:r>
      <w:r>
        <w:t xml:space="preserve">Central store for engineered ML features (Feast / Vertex AI Feature Store).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Embedding Store:</w:t>
      </w:r>
      <w:r>
        <w:t xml:space="preserve"> </w:t>
      </w:r>
      <w:r>
        <w:t xml:space="preserve">Central vector database for embeddings (pgvector / Pinecone / Vertex Matching Engine).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RAG Layer:</w:t>
      </w:r>
      <w:r>
        <w:t xml:space="preserve"> </w:t>
      </w:r>
      <w:r>
        <w:t xml:space="preserve">Document ingestion, chunking, metadata tagging, and embedding refresh pipelines.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Catalog Integration:</w:t>
      </w:r>
      <w:r>
        <w:t xml:space="preserve"> </w:t>
      </w:r>
      <w:r>
        <w:t xml:space="preserve">Dataplex / Data Catalog for lineage, discovery, and tagging of datasets used in ML + LLM pipelines.</w:t>
      </w:r>
    </w:p>
    <w:p>
      <w:r>
        <w:pict>
          <v:rect style="width:0;height:1.5pt" o:hralign="center" o:hrstd="t" o:hr="t"/>
        </w:pict>
      </w:r>
    </w:p>
    <w:bookmarkEnd w:id="26"/>
    <w:bookmarkStart w:id="27" w:name="security-governance"/>
    <w:p>
      <w:pPr>
        <w:pStyle w:val="Heading2"/>
      </w:pPr>
      <w:r>
        <w:rPr>
          <w:b/>
          <w:bCs/>
        </w:rPr>
        <w:t xml:space="preserve">8. Security &amp; Governance</w:t>
      </w:r>
    </w:p>
    <w:p>
      <w:pPr>
        <w:pStyle w:val="Compact"/>
        <w:numPr>
          <w:ilvl w:val="0"/>
          <w:numId w:val="1010"/>
        </w:numPr>
      </w:pPr>
      <w:r>
        <w:t xml:space="preserve">Comprehensive governance covering:</w:t>
      </w:r>
    </w:p>
    <w:p>
      <w:pPr>
        <w:pStyle w:val="Compact"/>
        <w:numPr>
          <w:ilvl w:val="1"/>
          <w:numId w:val="1011"/>
        </w:numPr>
      </w:pPr>
      <w:r>
        <w:t xml:space="preserve">Data lineage tracking and versioning.</w:t>
      </w:r>
      <w:r>
        <w:br/>
      </w:r>
    </w:p>
    <w:p>
      <w:pPr>
        <w:pStyle w:val="Compact"/>
        <w:numPr>
          <w:ilvl w:val="1"/>
          <w:numId w:val="1011"/>
        </w:numPr>
      </w:pPr>
      <w:r>
        <w:t xml:space="preserve">PCI/PII protection and tokenization.</w:t>
      </w:r>
      <w:r>
        <w:br/>
      </w:r>
    </w:p>
    <w:p>
      <w:pPr>
        <w:pStyle w:val="Compact"/>
        <w:numPr>
          <w:ilvl w:val="1"/>
          <w:numId w:val="1011"/>
        </w:numPr>
      </w:pPr>
      <w:r>
        <w:t xml:space="preserve">Automated compliance reporting (SOC 2, HIPAA, GDPR).</w:t>
      </w:r>
      <w:r>
        <w:br/>
      </w:r>
    </w:p>
    <w:p>
      <w:pPr>
        <w:pStyle w:val="Compact"/>
        <w:numPr>
          <w:ilvl w:val="1"/>
          <w:numId w:val="1011"/>
        </w:numPr>
      </w:pPr>
      <w:r>
        <w:t xml:space="preserve">Centralized audit logging and SIEM integration.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IAM-based project isolation and fine-grained role assignments.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Encrypted data at rest (KMS) and in transit (TLS 1.3).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API Gateway enforcement for authentication, rate limits, and request tracing.</w:t>
      </w:r>
    </w:p>
    <w:p>
      <w:r>
        <w:pict>
          <v:rect style="width:0;height:1.5pt" o:hralign="center" o:hrstd="t" o:hr="t"/>
        </w:pict>
      </w:r>
    </w:p>
    <w:bookmarkEnd w:id="27"/>
    <w:bookmarkStart w:id="28" w:name="operations-reliability"/>
    <w:p>
      <w:pPr>
        <w:pStyle w:val="Heading2"/>
      </w:pPr>
      <w:r>
        <w:rPr>
          <w:b/>
          <w:bCs/>
        </w:rPr>
        <w:t xml:space="preserve">9. Operations &amp; Reliability</w:t>
      </w:r>
    </w:p>
    <w:p>
      <w:pPr>
        <w:pStyle w:val="Compact"/>
        <w:numPr>
          <w:ilvl w:val="0"/>
          <w:numId w:val="1012"/>
        </w:numPr>
      </w:pPr>
      <w:r>
        <w:t xml:space="preserve">Deliver high availability and minimal maintenance through automation.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Auto-Parking functionality</w:t>
      </w:r>
      <w:r>
        <w:t xml:space="preserve"> </w:t>
      </w:r>
      <w:r>
        <w:t xml:space="preserve">for instance start/stop scheduling to optimize costs.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Auto-scaling model endpoints based on utilization.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Scheduled backups and health-check automation for recovery.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SLA adherence for uptime and inference latency.</w:t>
      </w:r>
    </w:p>
    <w:p>
      <w:r>
        <w:pict>
          <v:rect style="width:0;height:1.5pt" o:hralign="center" o:hrstd="t" o:hr="t"/>
        </w:pict>
      </w:r>
    </w:p>
    <w:bookmarkEnd w:id="28"/>
    <w:bookmarkStart w:id="29" w:name="observability-guardrails"/>
    <w:p>
      <w:pPr>
        <w:pStyle w:val="Heading2"/>
      </w:pPr>
      <w:r>
        <w:rPr>
          <w:b/>
          <w:bCs/>
        </w:rPr>
        <w:t xml:space="preserve">10. Observability &amp; Guardrails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Metrics:</w:t>
      </w:r>
      <w:r>
        <w:t xml:space="preserve"> </w:t>
      </w:r>
      <w:r>
        <w:t xml:space="preserve">latency, cost, drift, bias, token consumption, factual consistency, hallucination rate.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Tools:</w:t>
      </w:r>
      <w:r>
        <w:t xml:space="preserve"> </w:t>
      </w:r>
      <w:r>
        <w:t xml:space="preserve">Fiddler AI, LangSmith, Prometheus, Grafana.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Safety Layer:</w:t>
      </w:r>
      <w:r>
        <w:t xml:space="preserve"> </w:t>
      </w:r>
      <w:r>
        <w:t xml:space="preserve">integrate Bedrock Guardrails, Vertex Guardrails, or Model Armor for prompt filtering, toxicity detection, and data leakage prevention.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Cost Observability:</w:t>
      </w:r>
      <w:r>
        <w:t xml:space="preserve"> </w:t>
      </w:r>
      <w:r>
        <w:t xml:space="preserve">integrate FinOps dashboards for per-project and per-use-case cost attribution.</w:t>
      </w:r>
    </w:p>
    <w:p>
      <w:r>
        <w:pict>
          <v:rect style="width:0;height:1.5pt" o:hralign="center" o:hrstd="t" o:hr="t"/>
        </w:pict>
      </w:r>
    </w:p>
    <w:bookmarkEnd w:id="29"/>
    <w:bookmarkStart w:id="30" w:name="automation-lifecycle-management"/>
    <w:p>
      <w:pPr>
        <w:pStyle w:val="Heading2"/>
      </w:pPr>
      <w:r>
        <w:rPr>
          <w:b/>
          <w:bCs/>
        </w:rPr>
        <w:t xml:space="preserve">11. Automation &amp; Lifecycle Management</w:t>
      </w:r>
    </w:p>
    <w:p>
      <w:pPr>
        <w:pStyle w:val="Compact"/>
        <w:numPr>
          <w:ilvl w:val="0"/>
          <w:numId w:val="1014"/>
        </w:numPr>
      </w:pPr>
      <w:r>
        <w:t xml:space="preserve">Event-driven retraining using data drift or performance thresholds.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Automated versioning and rollback using CI/CD triggers.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Human-in-the-loop feedback capture for reinforcement learning and RAG accuracy tuning.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Resource tagging and cost-based scaling policies.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Workflow orchestration using Airflow or Vertex Pipelines with event triggers from Pub/Sub or Eventarc.</w:t>
      </w:r>
    </w:p>
    <w:p>
      <w:r>
        <w:pict>
          <v:rect style="width:0;height:1.5pt" o:hralign="center" o:hrstd="t" o:hr="t"/>
        </w:pict>
      </w:r>
    </w:p>
    <w:bookmarkEnd w:id="30"/>
    <w:bookmarkStart w:id="31" w:name="testing-validation-framework"/>
    <w:p>
      <w:pPr>
        <w:pStyle w:val="Heading2"/>
      </w:pPr>
      <w:r>
        <w:rPr>
          <w:b/>
          <w:bCs/>
        </w:rPr>
        <w:t xml:space="preserve">12. Testing &amp; Validation Framework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523"/>
        <w:gridCol w:w="1929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Capability Area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Criteria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Outcome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Integration</w:t>
            </w:r>
          </w:p>
        </w:tc>
        <w:tc>
          <w:tcPr/>
          <w:p>
            <w:pPr>
              <w:pStyle w:val="Compact"/>
            </w:pPr>
            <w:r>
              <w:t xml:space="preserve">Validate ingestion &amp; synchronization</w:t>
            </w:r>
          </w:p>
        </w:tc>
        <w:tc>
          <w:tcPr/>
          <w:p>
            <w:pPr>
              <w:pStyle w:val="Compact"/>
            </w:pPr>
            <w:r>
              <w:t xml:space="preserve">Simulate data from Pub/Sub, BigQuery, legacy DB</w:t>
            </w:r>
          </w:p>
        </w:tc>
        <w:tc>
          <w:tcPr/>
          <w:p>
            <w:pPr>
              <w:pStyle w:val="Compact"/>
            </w:pPr>
            <w:r>
              <w:t xml:space="preserve">Unified ingestion completes successfully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MLOps</w:t>
            </w:r>
          </w:p>
        </w:tc>
        <w:tc>
          <w:tcPr/>
          <w:p>
            <w:pPr>
              <w:pStyle w:val="Compact"/>
            </w:pPr>
            <w:r>
              <w:t xml:space="preserve">Validate end-to-end model lifecycle</w:t>
            </w:r>
          </w:p>
        </w:tc>
        <w:tc>
          <w:tcPr/>
          <w:p>
            <w:pPr>
              <w:pStyle w:val="Compact"/>
            </w:pPr>
            <w:r>
              <w:t xml:space="preserve">Train → deploy → monitor via Harness.io</w:t>
            </w:r>
          </w:p>
        </w:tc>
        <w:tc>
          <w:tcPr/>
          <w:p>
            <w:pPr>
              <w:pStyle w:val="Compact"/>
            </w:pPr>
            <w:r>
              <w:t xml:space="preserve">Versioned model deployed with reproducible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LLMOps (RAG)</w:t>
            </w:r>
          </w:p>
        </w:tc>
        <w:tc>
          <w:tcPr/>
          <w:p>
            <w:pPr>
              <w:pStyle w:val="Compact"/>
            </w:pPr>
            <w:r>
              <w:t xml:space="preserve">Validate prompt pipelines &amp; vector retrieval</w:t>
            </w:r>
          </w:p>
        </w:tc>
        <w:tc>
          <w:tcPr/>
          <w:p>
            <w:pPr>
              <w:pStyle w:val="Compact"/>
            </w:pPr>
            <w:r>
              <w:t xml:space="preserve">LLM response accuracy &amp; cost tracking</w:t>
            </w:r>
          </w:p>
        </w:tc>
        <w:tc>
          <w:tcPr/>
          <w:p>
            <w:pPr>
              <w:pStyle w:val="Compact"/>
            </w:pPr>
            <w:r>
              <w:t xml:space="preserve">≥ 90% factual responses, traceable retrieval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Validate metric collection &amp; dashboards</w:t>
            </w:r>
          </w:p>
        </w:tc>
        <w:tc>
          <w:tcPr/>
          <w:p>
            <w:pPr>
              <w:pStyle w:val="Compact"/>
            </w:pPr>
            <w:r>
              <w:t xml:space="preserve">Fiddler &amp; LangSmith dashboards</w:t>
            </w:r>
          </w:p>
        </w:tc>
        <w:tc>
          <w:tcPr/>
          <w:p>
            <w:pPr>
              <w:pStyle w:val="Compact"/>
            </w:pPr>
            <w:r>
              <w:t xml:space="preserve">Drift and bias visible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Validate compliance enforcement</w:t>
            </w:r>
          </w:p>
        </w:tc>
        <w:tc>
          <w:tcPr/>
          <w:p>
            <w:pPr>
              <w:pStyle w:val="Compact"/>
            </w:pPr>
            <w:r>
              <w:t xml:space="preserve">Trigger PII access &amp; audit</w:t>
            </w:r>
          </w:p>
        </w:tc>
        <w:tc>
          <w:tcPr/>
          <w:p>
            <w:pPr>
              <w:pStyle w:val="Compact"/>
            </w:pPr>
            <w:r>
              <w:t xml:space="preserve">Event logged and alerts raised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Validate auto-scale under load</w:t>
            </w:r>
          </w:p>
        </w:tc>
        <w:tc>
          <w:tcPr/>
          <w:p>
            <w:pPr>
              <w:pStyle w:val="Compact"/>
            </w:pPr>
            <w:r>
              <w:t xml:space="preserve">5× inference traffic</w:t>
            </w:r>
          </w:p>
        </w:tc>
        <w:tc>
          <w:tcPr/>
          <w:p>
            <w:pPr>
              <w:pStyle w:val="Compact"/>
            </w:pPr>
            <w:r>
              <w:t xml:space="preserve">System stabilizes with &lt; 10% error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Validate failover &amp; uptime</w:t>
            </w:r>
          </w:p>
        </w:tc>
        <w:tc>
          <w:tcPr/>
          <w:p>
            <w:pPr>
              <w:pStyle w:val="Compact"/>
            </w:pPr>
            <w:r>
              <w:t xml:space="preserve">Simulate service crash</w:t>
            </w:r>
          </w:p>
        </w:tc>
        <w:tc>
          <w:tcPr/>
          <w:p>
            <w:pPr>
              <w:pStyle w:val="Compact"/>
            </w:pPr>
            <w:r>
              <w:t xml:space="preserve">Recovery &lt; 2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Validate VM Autoparking</w:t>
            </w:r>
          </w:p>
        </w:tc>
        <w:tc>
          <w:tcPr/>
          <w:p>
            <w:pPr>
              <w:pStyle w:val="Compact"/>
            </w:pPr>
            <w:r>
              <w:t xml:space="preserve">Idle VM stopped</w:t>
            </w:r>
          </w:p>
        </w:tc>
        <w:tc>
          <w:tcPr/>
          <w:p>
            <w:pPr>
              <w:pStyle w:val="Compact"/>
            </w:pPr>
            <w:r>
              <w:t xml:space="preserve">Cost reduction verified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80062a737fbc6a249e9ac5fb8d434224d49fa4d"/>
    <w:p>
      <w:pPr>
        <w:pStyle w:val="Heading2"/>
      </w:pPr>
      <w:r>
        <w:rPr>
          <w:b/>
          <w:bCs/>
        </w:rPr>
        <w:t xml:space="preserve">13. Advanced Platform Capabilities (Future Phase)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3028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+ Embedding Store Federation</w:t>
            </w:r>
          </w:p>
        </w:tc>
        <w:tc>
          <w:tcPr/>
          <w:p>
            <w:pPr>
              <w:pStyle w:val="Compact"/>
            </w:pPr>
            <w:r>
              <w:t xml:space="preserve">Cross-cloud retrieval</w:t>
            </w:r>
          </w:p>
        </w:tc>
        <w:tc>
          <w:tcPr/>
          <w:p>
            <w:pPr>
              <w:pStyle w:val="Compact"/>
            </w:pPr>
            <w:r>
              <w:t xml:space="preserve">Shared intelligence across BU/projects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Agentic AI Layer</w:t>
            </w:r>
          </w:p>
        </w:tc>
        <w:tc>
          <w:tcPr/>
          <w:p>
            <w:pPr>
              <w:pStyle w:val="Compact"/>
            </w:pPr>
            <w:r>
              <w:t xml:space="preserve">LangGraph / CrewAI / AgentSpace</w:t>
            </w:r>
          </w:p>
        </w:tc>
        <w:tc>
          <w:tcPr/>
          <w:p>
            <w:pPr>
              <w:pStyle w:val="Compact"/>
            </w:pPr>
            <w:r>
              <w:t xml:space="preserve">Multi-agent orchestration &amp; 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 Sandbox</w:t>
            </w:r>
          </w:p>
        </w:tc>
        <w:tc>
          <w:tcPr/>
          <w:p>
            <w:pPr>
              <w:pStyle w:val="Compact"/>
            </w:pPr>
            <w:r>
              <w:t xml:space="preserve">Shadow testing &amp; canary rollout</w:t>
            </w:r>
          </w:p>
        </w:tc>
        <w:tc>
          <w:tcPr/>
          <w:p>
            <w:pPr>
              <w:pStyle w:val="Compact"/>
            </w:pPr>
            <w:r>
              <w:t xml:space="preserve">Safe experimentation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Quality Layer</w:t>
            </w:r>
          </w:p>
        </w:tc>
        <w:tc>
          <w:tcPr/>
          <w:p>
            <w:pPr>
              <w:pStyle w:val="Compact"/>
            </w:pPr>
            <w:r>
              <w:t xml:space="preserve">TFDV / Great Expectations</w:t>
            </w:r>
          </w:p>
        </w:tc>
        <w:tc>
          <w:tcPr/>
          <w:p>
            <w:pPr>
              <w:pStyle w:val="Compact"/>
            </w:pPr>
            <w:r>
              <w:t xml:space="preserve">Detect schema &amp; anomaly 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Drift Monitoring Dashboard</w:t>
            </w:r>
          </w:p>
        </w:tc>
        <w:tc>
          <w:tcPr/>
          <w:p>
            <w:pPr>
              <w:pStyle w:val="Compact"/>
            </w:pPr>
            <w:r>
              <w:t xml:space="preserve">Unified drift detection</w:t>
            </w:r>
          </w:p>
        </w:tc>
        <w:tc>
          <w:tcPr/>
          <w:p>
            <w:pPr>
              <w:pStyle w:val="Compact"/>
            </w:pPr>
            <w:r>
              <w:t xml:space="preserve">Continuous data &amp; model health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Governance</w:t>
            </w:r>
          </w:p>
        </w:tc>
        <w:tc>
          <w:tcPr/>
          <w:p>
            <w:pPr>
              <w:pStyle w:val="Compact"/>
            </w:pPr>
            <w:r>
              <w:t xml:space="preserve">Budget alerts, tagging</w:t>
            </w:r>
          </w:p>
        </w:tc>
        <w:tc>
          <w:tcPr/>
          <w:p>
            <w:pPr>
              <w:pStyle w:val="Compact"/>
            </w:pPr>
            <w:r>
              <w:t xml:space="preserve">Predictive FinOps optimization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6" w:name="Xf3be93fce2e54369e52839e4453b541cd6f45c3"/>
    <w:p>
      <w:pPr>
        <w:pStyle w:val="Heading2"/>
      </w:pPr>
      <w:r>
        <w:rPr>
          <w:b/>
          <w:bCs/>
        </w:rPr>
        <w:t xml:space="preserve">14. Artifact Management (Artifactory / Artifact Registry)</w:t>
      </w:r>
    </w:p>
    <w:bookmarkStart w:id="33" w:name="purpose"/>
    <w:p>
      <w:pPr>
        <w:pStyle w:val="Heading3"/>
      </w:pPr>
      <w:r>
        <w:rPr>
          <w:b/>
          <w:bCs/>
        </w:rPr>
        <w:t xml:space="preserve">Purpose</w:t>
      </w:r>
    </w:p>
    <w:p>
      <w:pPr>
        <w:pStyle w:val="FirstParagraph"/>
      </w:pPr>
      <w:r>
        <w:t xml:space="preserve">Artifactory or Artifact Registry serves as the</w:t>
      </w:r>
      <w:r>
        <w:t xml:space="preserve"> </w:t>
      </w:r>
      <w:r>
        <w:rPr>
          <w:b/>
          <w:bCs/>
        </w:rPr>
        <w:t xml:space="preserve">central repository</w:t>
      </w:r>
      <w:r>
        <w:t xml:space="preserve"> </w:t>
      </w:r>
      <w:r>
        <w:t xml:space="preserve">for all model, container, and dependency artifacts, ensuring reproducibility, version control, and security across MLOps and LLMOps workflows.</w:t>
      </w:r>
    </w:p>
    <w:bookmarkEnd w:id="33"/>
    <w:bookmarkStart w:id="34" w:name="scope-capabilities"/>
    <w:p>
      <w:pPr>
        <w:pStyle w:val="Heading3"/>
      </w:pPr>
      <w:r>
        <w:rPr>
          <w:b/>
          <w:bCs/>
        </w:rPr>
        <w:t xml:space="preserve">Scope &amp; Capabilities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Model and Image Storage:</w:t>
      </w:r>
      <w:r>
        <w:t xml:space="preserve"> </w:t>
      </w:r>
      <w:r>
        <w:t xml:space="preserve">Store container images, model binaries, and dependencies with versioning.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Management:</w:t>
      </w:r>
      <w:r>
        <w:t xml:space="preserve"> </w:t>
      </w:r>
      <w:r>
        <w:t xml:space="preserve">Manage internal Python, Helm, and Docker packages with vulnerability scanning.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Promotion Flow:</w:t>
      </w:r>
      <w:r>
        <w:t xml:space="preserve"> </w:t>
      </w:r>
      <w:r>
        <w:t xml:space="preserve">Automate gated promotion from Dev → QA → Prod with approval workflows.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Enforce RBAC, artifact signing, checksum verification, and retention policies.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Seamless integration with CI/CD (Harness, ArgoCD) and model registries.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LLMOps Support:</w:t>
      </w:r>
      <w:r>
        <w:t xml:space="preserve"> </w:t>
      </w:r>
      <w:r>
        <w:t xml:space="preserve">Host fine-tuned model weights, LoRA adapters, and prompt templates.</w:t>
      </w:r>
    </w:p>
    <w:bookmarkEnd w:id="34"/>
    <w:bookmarkStart w:id="35" w:name="capability-testing"/>
    <w:p>
      <w:pPr>
        <w:pStyle w:val="Heading3"/>
      </w:pPr>
      <w:r>
        <w:rPr>
          <w:b/>
          <w:bCs/>
        </w:rPr>
        <w:t xml:space="preserve">Capability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346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upload &amp; tagging</w:t>
            </w:r>
          </w:p>
        </w:tc>
        <w:tc>
          <w:tcPr/>
          <w:p>
            <w:pPr>
              <w:pStyle w:val="Compact"/>
            </w:pPr>
            <w:r>
              <w:t xml:space="preserve">Validate artifact versioning</w:t>
            </w:r>
          </w:p>
        </w:tc>
        <w:tc>
          <w:tcPr/>
          <w:p>
            <w:pPr>
              <w:pStyle w:val="Compact"/>
            </w:pPr>
            <w:r>
              <w:t xml:space="preserve">Artifacts visible with correct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 flow</w:t>
            </w:r>
          </w:p>
        </w:tc>
        <w:tc>
          <w:tcPr/>
          <w:p>
            <w:pPr>
              <w:pStyle w:val="Compact"/>
            </w:pPr>
            <w:r>
              <w:t xml:space="preserve">Validate gated promotion</w:t>
            </w:r>
          </w:p>
        </w:tc>
        <w:tc>
          <w:tcPr/>
          <w:p>
            <w:pPr>
              <w:pStyle w:val="Compact"/>
            </w:pPr>
            <w:r>
              <w:t xml:space="preserve">Artifact promoted post-approval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scan</w:t>
            </w:r>
          </w:p>
        </w:tc>
        <w:tc>
          <w:tcPr/>
          <w:p>
            <w:pPr>
              <w:pStyle w:val="Compact"/>
            </w:pPr>
            <w:r>
              <w:t xml:space="preserve">Validate SCA &amp; license check</w:t>
            </w:r>
          </w:p>
        </w:tc>
        <w:tc>
          <w:tcPr/>
          <w:p>
            <w:pPr>
              <w:pStyle w:val="Compact"/>
            </w:pPr>
            <w:r>
              <w:t xml:space="preserve">Alerts generated for CVEs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Immutable storage</w:t>
            </w:r>
          </w:p>
        </w:tc>
        <w:tc>
          <w:tcPr/>
          <w:p>
            <w:pPr>
              <w:pStyle w:val="Compact"/>
            </w:pPr>
            <w:r>
              <w:t xml:space="preserve">Prevent overwrite of release tags</w:t>
            </w:r>
          </w:p>
        </w:tc>
        <w:tc>
          <w:tcPr/>
          <w:p>
            <w:pPr>
              <w:pStyle w:val="Compact"/>
            </w:pPr>
            <w:r>
              <w:t xml:space="preserve">Registry enforces immutability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Deploy older artifact version</w:t>
            </w:r>
          </w:p>
        </w:tc>
        <w:tc>
          <w:tcPr/>
          <w:p>
            <w:pPr>
              <w:pStyle w:val="Compact"/>
            </w:pPr>
            <w:r>
              <w:t xml:space="preserve">Successful rollback with integrity verification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phase-wise-platform-maturity-plan"/>
    <w:p>
      <w:pPr>
        <w:pStyle w:val="Heading2"/>
      </w:pPr>
      <w:r>
        <w:rPr>
          <w:b/>
          <w:bCs/>
        </w:rPr>
        <w:t xml:space="preserve">15. Phase-Wise Platform Maturity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2"/>
        <w:gridCol w:w="2022"/>
        <w:gridCol w:w="38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– Foundation</w:t>
            </w:r>
          </w:p>
        </w:tc>
        <w:tc>
          <w:tcPr/>
          <w:p>
            <w:pPr>
              <w:pStyle w:val="Compact"/>
            </w:pPr>
            <w:r>
              <w:t xml:space="preserve">Core infra, CI/CD, MLOps observability</w:t>
            </w:r>
          </w:p>
        </w:tc>
        <w:tc>
          <w:tcPr/>
          <w:p>
            <w:pPr>
              <w:pStyle w:val="Compact"/>
            </w:pPr>
            <w:r>
              <w:t xml:space="preserve">Multi-project setup, model pipelines, Fiddler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 – Intelligence</w:t>
            </w:r>
          </w:p>
        </w:tc>
        <w:tc>
          <w:tcPr/>
          <w:p>
            <w:pPr>
              <w:pStyle w:val="Compact"/>
            </w:pPr>
            <w:r>
              <w:t xml:space="preserve">LLMOps, RAG, safety &amp; embedding layers</w:t>
            </w:r>
          </w:p>
        </w:tc>
        <w:tc>
          <w:tcPr/>
          <w:p>
            <w:pPr>
              <w:pStyle w:val="Compact"/>
            </w:pPr>
            <w:r>
              <w:t xml:space="preserve">Vector DB, guardrails, LangSmith observability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 – Autonomy</w:t>
            </w:r>
          </w:p>
        </w:tc>
        <w:tc>
          <w:tcPr/>
          <w:p>
            <w:pPr>
              <w:pStyle w:val="Compact"/>
            </w:pPr>
            <w:r>
              <w:t xml:space="preserve">Multi-agent orchestration, cost governance</w:t>
            </w:r>
          </w:p>
        </w:tc>
        <w:tc>
          <w:tcPr/>
          <w:p>
            <w:pPr>
              <w:pStyle w:val="Compact"/>
            </w:pPr>
            <w:r>
              <w:t xml:space="preserve">Agentic framework, feedback loops, cost dashboards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summary"/>
    <w:p>
      <w:pPr>
        <w:pStyle w:val="Heading2"/>
      </w:pPr>
      <w:r>
        <w:rPr>
          <w:b/>
          <w:bCs/>
        </w:rPr>
        <w:t xml:space="preserve">16. Summary</w:t>
      </w:r>
    </w:p>
    <w:p>
      <w:pPr>
        <w:pStyle w:val="FirstParagraph"/>
      </w:pPr>
      <w:r>
        <w:t xml:space="preserve">The proposed AI Platform establishes a</w:t>
      </w:r>
      <w:r>
        <w:t xml:space="preserve"> </w:t>
      </w:r>
      <w:r>
        <w:rPr>
          <w:b/>
          <w:bCs/>
        </w:rPr>
        <w:t xml:space="preserve">unified, scalable, and secure foundation</w:t>
      </w:r>
      <w:r>
        <w:t xml:space="preserve"> </w:t>
      </w:r>
      <w:r>
        <w:t xml:space="preserve">that bridges both</w:t>
      </w:r>
      <w:r>
        <w:t xml:space="preserve"> </w:t>
      </w:r>
      <w:r>
        <w:rPr>
          <w:b/>
          <w:bCs/>
        </w:rPr>
        <w:t xml:space="preserve">MLOps and LLMOps/GenAIOps</w:t>
      </w:r>
      <w:r>
        <w:t xml:space="preserve"> </w:t>
      </w:r>
      <w:r>
        <w:t xml:space="preserve">lifecycles.</w:t>
      </w:r>
      <w:r>
        <w:br/>
      </w:r>
      <w:r>
        <w:t xml:space="preserve">It ensures infrastructure standardization, compliance, automation, and observability while enabling innovation through modular AI building blocks and cost-efficient automation.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2025-11-03T20:07:49Z</dcterms:created>
  <dcterms:modified xsi:type="dcterms:W3CDTF">2025-11-03T20:07:49Z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