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foxbms-2-software-verification-report"/>
    <w:p>
      <w:pPr>
        <w:pStyle w:val="Heading1"/>
      </w:pPr>
      <w:r>
        <w:t xml:space="preserve">foxBMS 2 — Software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verification by level: (1) reverse-engineered unit verification evidence — the full per-module unit-test inventory from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; (2) corpus test levels (unit, component, integration, HIL) with cases, execution reports, execution_kind labeled; actual vs synthetic distinguished.</w:t>
      </w:r>
    </w:p>
    <w:bookmarkEnd w:id="20"/>
    <w:bookmarkStart w:id="21" w:name="X5ce79628f51aefec3b956c7872b295b3d0215b9"/>
    <w:p>
      <w:pPr>
        <w:pStyle w:val="Heading2"/>
      </w:pPr>
      <w:r>
        <w:t xml:space="preserve">Reverse-Engineered Unit Verification Evidence</w:t>
      </w:r>
    </w:p>
    <w:p>
      <w:pPr>
        <w:pStyle w:val="FirstParagraph"/>
      </w:pPr>
      <w:r>
        <w:t xml:space="preserve">The repository carries</w:t>
      </w:r>
      <w:r>
        <w:t xml:space="preserve"> </w:t>
      </w:r>
      <w:r>
        <w:rPr>
          <w:b/>
          <w:bCs/>
        </w:rPr>
        <w:t xml:space="preserve">313 C unit test files</w:t>
      </w:r>
      <w:r>
        <w:t xml:space="preserve"> </w:t>
      </w:r>
      <w:r>
        <w:t xml:space="preserve">(Ceedling/Unity, host-based) in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. Per-module inventory: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test_algorithm.c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test_bal.c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test_bms.c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test_ethernet_freertos.c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test_plausibility.c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test_adc.c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test_can_2.c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test_can_can_message_notification.c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test_contactor.c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test_dma_dma_group_a_notification.c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test_dma_nxp.c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test_dma_uart.c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test_utils.c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test_fram.c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test_htsensor.c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test_imd.c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test_interlock.c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test_led.c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test_mcu.c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test_meas.c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test_pex.c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test_dp83869.c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test_pwm.c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test_nxpfs85xx.c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test_nxpfs85xx_mcu_spi_transfer_data.c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test_sbc.c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test_spi_adi.c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test_spi_debug.c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test_spi_ltc.c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test_spi_mxm.c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test_spi_nxp.c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test_beta.c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test_uart_sci_notification.c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test_database_helper.c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test_diag.c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test_master_info.c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test_sys.c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test_sys_mon.c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test_ftask_emac.c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test_timer.c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of the module inventory</w:t>
      </w:r>
      <w:r>
        <w:t xml:space="preserve">: 40/40 modules have direct unit tests; config files are covered by</w:t>
      </w:r>
      <w:r>
        <w:t xml:space="preserve"> </w:t>
      </w:r>
      <w:r>
        <w:rPr>
          <w:rStyle w:val="VerbatimChar"/>
        </w:rPr>
        <w:t xml:space="preserve">*/config</w:t>
      </w:r>
      <w:r>
        <w:t xml:space="preserve"> </w:t>
      </w:r>
      <w:r>
        <w:t xml:space="preserve">test folders (e.g. </w:t>
      </w:r>
      <w:r>
        <w:rPr>
          <w:rStyle w:val="VerbatimChar"/>
        </w:rPr>
        <w:t xml:space="preserve">tests/unit/app/application/config/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task/config/</w:t>
      </w:r>
      <w:r>
        <w:t xml:space="preserve">).</w:t>
      </w:r>
    </w:p>
    <w:p>
      <w:pPr>
        <w:pStyle w:val="BodyText"/>
      </w:pPr>
      <w:r>
        <w:t xml:space="preserve">CI enforces the run of these tests for every revision; the coverage report MUST reach 100% line and branch coverage (</w:t>
      </w:r>
      <w:r>
        <w:rPr>
          <w:rStyle w:val="VerbatimChar"/>
        </w:rPr>
        <w:t xml:space="preserve">docs/developer-manual/software/software-testing.rst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docs/software/unit-tests/unit-tests.rst</w:t>
      </w:r>
      <w:r>
        <w:t xml:space="preserve">).</w:t>
      </w:r>
    </w:p>
    <w:bookmarkEnd w:id="21"/>
    <w:bookmarkStart w:id="48" w:name="unit-testing"/>
    <w:p>
      <w:pPr>
        <w:pStyle w:val="Heading2"/>
      </w:pPr>
      <w:r>
        <w:t xml:space="preserve">Unit Testing</w:t>
      </w:r>
    </w:p>
    <w:bookmarkStart w:id="38" w:name="test-specification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links per test measure (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execution links in Execution Report). Full requirement chain above each measure:</w:t>
      </w:r>
      <w:r>
        <w:t xml:space="preserve"> </w:t>
      </w:r>
      <w:r>
        <w:rPr>
          <w:rStyle w:val="VerbatimChar"/>
        </w:rPr>
        <w:t xml:space="preserve">HAZ-000001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SGO-000001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LNK-001</w:t>
      </w:r>
      <w:r>
        <w:t xml:space="preserve">) ← FSR (</w:t>
      </w:r>
      <w:r>
        <w:rPr>
          <w:rStyle w:val="VerbatimChar"/>
        </w:rPr>
        <w:t xml:space="preserve">LNK-002/003/004</w:t>
      </w:r>
      <w:r>
        <w:t xml:space="preserve">,</w:t>
      </w:r>
      <w:r>
        <w:t xml:space="preserve"> </w:t>
      </w:r>
      <w:r>
        <w:rPr>
          <w:rStyle w:val="VerbatimChar"/>
        </w:rPr>
        <w:t xml:space="preserve">LNK-021</w:t>
      </w:r>
      <w:r>
        <w:t xml:space="preserve"> </w:t>
      </w:r>
      <w:r>
        <w:t xml:space="preserve">synthetic FSR-004) ← TSR/SWR allocation (</w:t>
      </w:r>
      <w:r>
        <w:rPr>
          <w:rStyle w:val="VerbatimChar"/>
        </w:rPr>
        <w:t xml:space="preserve">LNK-005..010</w:t>
      </w:r>
      <w:r>
        <w:t xml:space="preserve">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(</w:t>
            </w: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links)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LNK-014/015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LNK-016/017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LNK-021/022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LNK-023/024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LNK-022/023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LNK-024/025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LNK-026/027/028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LNK-029/030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FB2-VER-TMS-000007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SWR-000001/002/003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LNK-039/040/041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FB2-VER-TMS-000008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FSR-000001/002/003/004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LNK-042/043/044/045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FB2-VER-TMS-000009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SGO-000001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SCO-000001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LNK-046/047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FB2-VER-TMS-000010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FB2-VER-TMS-000011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FSR-000001/002/003/004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LNK-049/050/051/052</w:t>
            </w:r>
            <w:r>
              <w:t xml:space="preserve">)</w:t>
            </w:r>
          </w:p>
        </w:tc>
      </w:tr>
    </w:tbl>
    <w:bookmarkStart w:id="22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2"/>
    <w:bookmarkStart w:id="23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3"/>
    <w:bookmarkStart w:id="24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4"/>
    <w:bookmarkStart w:id="25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5"/>
    <w:bookmarkStart w:id="26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6"/>
    <w:bookmarkStart w:id="27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7"/>
    <w:bookmarkStart w:id="28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28"/>
    <w:bookmarkStart w:id="29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29"/>
    <w:bookmarkStart w:id="30" w:name="X737e6f1a549c1d9bcd37d3264f2ee68ea0eb3b1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Independent Voltage Monitor Reaction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fault_injection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independent monitor detects overvoltage and opens contactors on diverse path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Inject cell voltage above monitor threshold</w:t>
      </w:r>
      <w:r>
        <w:t xml:space="preserve"> </w:t>
      </w:r>
      <w:r>
        <w:t xml:space="preserve">→ expected: Monitor path triggers independent open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Hold violation beyond monitor reaction time</w:t>
      </w:r>
      <w:r>
        <w:t xml:space="preserve"> </w:t>
      </w:r>
      <w:r>
        <w:t xml:space="preserve">→ expected: Contactors opened within 80 ms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Verify path independence from primary SOA</w:t>
      </w:r>
      <w:r>
        <w:t xml:space="preserve"> </w:t>
      </w:r>
      <w:r>
        <w:t xml:space="preserve">→ expected: Reaction with primary path disabled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independent_open_latency_ms</w:t>
      </w:r>
      <w:r>
        <w:t xml:space="preserve"> </w:t>
      </w:r>
      <w:r>
        <w:t xml:space="preserve">= &lt;80 (tolerance exact)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path_independent</w:t>
      </w:r>
      <w:r>
        <w:t xml:space="preserve"> </w:t>
      </w:r>
      <w:r>
        <w:t xml:space="preserve">= true (tolerance exact)</w:t>
      </w:r>
    </w:p>
    <w:bookmarkEnd w:id="30"/>
    <w:bookmarkStart w:id="31" w:name="Xda4f405e3536f59189286153e7737b06d7f3cd8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AFE Communication Integrity (synthetic_reference)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robustness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Objective</w:t>
      </w:r>
      <w:r>
        <w:t xml:space="preserve">: Verify AFE SPI communication integrity under frame corruption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PEC of AFE response frame</w:t>
      </w:r>
      <w:r>
        <w:t xml:space="preserve"> </w:t>
      </w:r>
      <w:r>
        <w:t xml:space="preserve">→ expected: Communication error reported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Verify retry counter</w:t>
      </w:r>
      <w:r>
        <w:t xml:space="preserve"> </w:t>
      </w:r>
      <w:r>
        <w:t xml:space="preserve">→ expected: Error counter increments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beyond tolerance</w:t>
      </w:r>
      <w:r>
        <w:t xml:space="preserve"> </w:t>
      </w:r>
      <w:r>
        <w:t xml:space="preserve">→ expected: AFE communication diagnosis entry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afe_diag_entry</w:t>
      </w:r>
      <w:r>
        <w:t xml:space="preserve"> </w:t>
      </w:r>
      <w:r>
        <w:t xml:space="preserve">= true (tolerance exact)</w:t>
      </w:r>
    </w:p>
    <w:bookmarkEnd w:id="31"/>
    <w:bookmarkStart w:id="32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2"/>
    <w:bookmarkStart w:id="33" w:name="X7843905b541afda89242109907c22d753fc016c"/>
    <w:p>
      <w:pPr>
        <w:pStyle w:val="Heading4"/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— Test: Software Integration Chain (synthetic_reference, draft planning stub)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Objective</w:t>
      </w:r>
      <w:r>
        <w:t xml:space="preserve">: Define the software integration verification intent for the SOA-database-contactor chain; no execution performed (harness blocked)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Preconditions</w:t>
      </w:r>
      <w:r>
        <w:t xml:space="preserve">: SOA, database and contactor units available as host builds; integration harness defined (blocked)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Publish violated cell voltage set to database via MEAS path</w:t>
      </w:r>
      <w:r>
        <w:t xml:space="preserve"> </w:t>
      </w:r>
      <w:r>
        <w:t xml:space="preserve">→ expected: SOA reads violated set within task cycle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SOA fault request propagates to BMS state machine</w:t>
      </w:r>
      <w:r>
        <w:t xml:space="preserve"> </w:t>
      </w:r>
      <w:r>
        <w:t xml:space="preserve">→ expected: FAULT state entered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contactor open command issued</w:t>
      </w:r>
      <w:r>
        <w:t xml:space="preserve"> </w:t>
      </w:r>
      <w:r>
        <w:t xml:space="preserve">→ expected: Coil de-energize commanded within 5 ms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chain_fault_to_open_verified</w:t>
      </w:r>
      <w:r>
        <w:t xml:space="preserve"> </w:t>
      </w:r>
      <w:r>
        <w:t xml:space="preserve">= true (tolerance exact)</w:t>
      </w:r>
    </w:p>
    <w:bookmarkEnd w:id="33"/>
    <w:bookmarkStart w:id="34" w:name="Xe35320e3f3868f74c643567ba35a5aaeca821ab"/>
    <w:p>
      <w:pPr>
        <w:pStyle w:val="Heading4"/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— Test: System Qualification (synthetic_reference, draft planning stub)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qualification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Objective</w:t>
      </w:r>
      <w:r>
        <w:t xml:space="preserve">: Define the system/software qualification verification intent against FSR-001..004 end to end; no execution performed (harness/target blocked)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Preconditions</w:t>
      </w:r>
      <w:r>
        <w:t xml:space="preserve">: Integrated system build available (blocked); qualification environment defined (blocked)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Environment</w:t>
      </w:r>
      <w:r>
        <w:t xml:space="preserve">: Target + HIL bench (blocked — unpublished); Unity/CMock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Drive cell-voltage limit violation at system boundary</w:t>
      </w:r>
      <w:r>
        <w:t xml:space="preserve"> </w:t>
      </w:r>
      <w:r>
        <w:t xml:space="preserve">→ expected: FAULT state reached end to end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contactor open within FTTI budget</w:t>
      </w:r>
      <w:r>
        <w:t xml:space="preserve"> </w:t>
      </w:r>
      <w:r>
        <w:t xml:space="preserve">→ expected: Timing within 100 ms FTTI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DIAG records safety reaction</w:t>
      </w:r>
      <w:r>
        <w:t xml:space="preserve"> </w:t>
      </w:r>
      <w:r>
        <w:t xml:space="preserve">→ expected: Diagnosis entry present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qual_chain_pass</w:t>
      </w:r>
      <w:r>
        <w:t xml:space="preserve"> </w:t>
      </w:r>
      <w:r>
        <w:t xml:space="preserve">= true (tolerance exact)</w:t>
      </w:r>
    </w:p>
    <w:bookmarkEnd w:id="34"/>
    <w:bookmarkStart w:id="35" w:name="Xd9a68829aa9fd01c7dc5fe0f5f9c5b2761dcadc"/>
    <w:p>
      <w:pPr>
        <w:pStyle w:val="Heading4"/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— Test: Stakeholder Validation (synthetic_reference, draft planning stub)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Objective</w:t>
      </w:r>
      <w:r>
        <w:t xml:space="preserve">: Define the validation intent of cell-voltage stakeholder use cases; no execution performed (environment 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Preconditions</w:t>
      </w:r>
      <w:r>
        <w:t xml:space="preserve">: Stakeholder use cases baselined; validation environment defined (blocked)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Environment</w:t>
      </w:r>
      <w:r>
        <w:t xml:space="preserve">: Operational target vehicle/bench (blocked)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normal-operation charging use case</w:t>
      </w:r>
      <w:r>
        <w:t xml:space="preserve"> </w:t>
      </w:r>
      <w:r>
        <w:t xml:space="preserve">→ expected: No spurious safety reaction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overvoltage field scenario</w:t>
      </w:r>
      <w:r>
        <w:t xml:space="preserve"> </w:t>
      </w:r>
      <w:r>
        <w:t xml:space="preserve">→ expected: System reaches safe state, stakeholder acceptance criteria met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validation_accepted</w:t>
      </w:r>
      <w:r>
        <w:t xml:space="preserve"> </w:t>
      </w:r>
      <w:r>
        <w:t xml:space="preserve">= true (tolerance exact)</w:t>
      </w:r>
    </w:p>
    <w:bookmarkEnd w:id="35"/>
    <w:bookmarkStart w:id="36" w:name="X3baf4a4bfc77917c4355b831a3d7a09a5373d8b"/>
    <w:p>
      <w:pPr>
        <w:pStyle w:val="Heading4"/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— Test: Component Verification (synthetic_reference, draft planning stub)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(component level)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Objective</w:t>
      </w:r>
      <w:r>
        <w:t xml:space="preserve">: Define the component-level verification intent for the SOA monitor plus DIAG callback chain; no execution performed (harness blocked)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Preconditions</w:t>
      </w:r>
      <w:r>
        <w:t xml:space="preserve">: SOA and DIAG units available as host builds; component harness defined (blocked)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Drive SOA limit violation at component boundary</w:t>
      </w:r>
      <w:r>
        <w:t xml:space="preserve"> </w:t>
      </w:r>
      <w:r>
        <w:t xml:space="preserve">→ expected: DIAG callback invoked with severity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Confirm occurrence counter and latency fields</w:t>
      </w:r>
      <w:r>
        <w:t xml:space="preserve"> </w:t>
      </w:r>
      <w:r>
        <w:t xml:space="preserve">→ expected: Counter increments within debounce window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Clear stimulus and confirm recovery</w:t>
      </w:r>
      <w:r>
        <w:t xml:space="preserve"> </w:t>
      </w:r>
      <w:r>
        <w:t xml:space="preserve">→ expected: No latched fault after clear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component_reaction_verified</w:t>
      </w:r>
      <w:r>
        <w:t xml:space="preserve"> </w:t>
      </w:r>
      <w:r>
        <w:t xml:space="preserve">= true (tolerance exact)</w:t>
      </w:r>
    </w:p>
    <w:bookmarkEnd w:id="36"/>
    <w:bookmarkStart w:id="37" w:name="X009780c28ca972d5908121ea335c0366ed5cfde"/>
    <w:p>
      <w:pPr>
        <w:pStyle w:val="Heading4"/>
      </w:pPr>
      <w:r>
        <w:rPr>
          <w:rStyle w:val="VerbatimChar"/>
        </w:rPr>
        <w:t xml:space="preserve">FB2-VER-TMS-000011</w:t>
      </w:r>
      <w:r>
        <w:t xml:space="preserve"> </w:t>
      </w:r>
      <w:r>
        <w:t xml:space="preserve">— Test: HIL Fault Reaction (synthetic_reference, draft planning stub)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(HIL)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Objective</w:t>
      </w:r>
      <w:r>
        <w:t xml:space="preserve">: Define the HIL verification intent for the cell-voltage safety chain on target hardware; no execution performed (</w:t>
      </w:r>
      <w:r>
        <w:rPr>
          <w:rStyle w:val="VerbatimChar"/>
        </w:rPr>
        <w:t xml:space="preserve">tests/hil</w:t>
      </w:r>
      <w:r>
        <w:t xml:space="preserve"> </w:t>
      </w:r>
      <w:r>
        <w:t xml:space="preserve">placeholder only)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Preconditions</w:t>
      </w:r>
      <w:r>
        <w:t xml:space="preserve">: HIL bench available (blocked — unpublished upstream); target program built with coverage instrumentation (blocked)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Environment</w:t>
      </w:r>
      <w:r>
        <w:t xml:space="preserve">: Target TMS570LC4357 + HIL bench (blocked — unpublished)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Apply overvoltage stimulus on HIL cell emulator</w:t>
      </w:r>
      <w:r>
        <w:t xml:space="preserve"> </w:t>
      </w:r>
      <w:r>
        <w:t xml:space="preserve">→ expected: AFE path acquires violated sample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Observe contactor command on target I/O</w:t>
      </w:r>
      <w:r>
        <w:t xml:space="preserve"> </w:t>
      </w:r>
      <w:r>
        <w:t xml:space="preserve">→ expected: Coils de-energized within FTTI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Collect line/branch coverage on target</w:t>
      </w:r>
      <w:r>
        <w:t xml:space="preserve"> </w:t>
      </w:r>
      <w:r>
        <w:t xml:space="preserve">→ expected: Coverage record retained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hil_reaction_verified</w:t>
      </w:r>
      <w:r>
        <w:t xml:space="preserve"> </w:t>
      </w:r>
      <w:r>
        <w:t xml:space="preserve">= true (tolerance exact)</w:t>
      </w:r>
    </w:p>
    <w:bookmarkEnd w:id="37"/>
    <w:bookmarkEnd w:id="38"/>
    <w:bookmarkStart w:id="39" w:name="test-cases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(synthetic_reference, draft stub):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FB2-VER-TMS-000011</w:t>
      </w:r>
      <w:r>
        <w:t xml:space="preserve"> </w:t>
      </w:r>
      <w:r>
        <w:t xml:space="preserve">(synthetic_reference, draft stub): 3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49</w:t>
      </w:r>
    </w:p>
    <w:bookmarkEnd w:id="39"/>
    <w:bookmarkStart w:id="47" w:name="execution-report"/>
    <w:p>
      <w:pPr>
        <w:pStyle w:val="Heading3"/>
      </w:pPr>
      <w:r>
        <w:t xml:space="preserve">Execution Report</w:t>
      </w:r>
    </w:p>
    <w:bookmarkStart w:id="40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0"/>
    <w:bookmarkStart w:id="41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1"/>
    <w:bookmarkStart w:id="42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42"/>
    <w:bookmarkStart w:id="43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43"/>
    <w:bookmarkStart w:id="44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44"/>
    <w:bookmarkStart w:id="45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45"/>
    <w:bookmarkStart w:id="46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bookmarkEnd w:id="46"/>
    <w:bookmarkEnd w:id="47"/>
    <w:bookmarkEnd w:id="48"/>
    <w:bookmarkStart w:id="52" w:name="component-testing"/>
    <w:p>
      <w:pPr>
        <w:pStyle w:val="Heading2"/>
      </w:pPr>
      <w:r>
        <w:t xml:space="preserve">Component Testing</w:t>
      </w:r>
    </w:p>
    <w:bookmarkStart w:id="49" w:name="test-specification-1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49"/>
    <w:bookmarkStart w:id="50" w:name="test-cases-1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50"/>
    <w:bookmarkStart w:id="51" w:name="execution-report-1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execution artifacts in the corpus — gap (blocked, not fabricated).</w:t>
      </w:r>
    </w:p>
    <w:bookmarkEnd w:id="51"/>
    <w:bookmarkEnd w:id="52"/>
    <w:bookmarkStart w:id="56" w:name="integration-testing"/>
    <w:p>
      <w:pPr>
        <w:pStyle w:val="Heading2"/>
      </w:pPr>
      <w:r>
        <w:t xml:space="preserve">Integration Testing</w:t>
      </w:r>
    </w:p>
    <w:bookmarkStart w:id="53" w:name="test-specification-2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 The integration measure exists as a draft stub:</w:t>
      </w:r>
      <w:r>
        <w:t xml:space="preserve"> </w:t>
      </w:r>
      <w:r>
        <w:rPr>
          <w:rStyle w:val="VerbatimChar"/>
        </w:rPr>
        <w:t xml:space="preserve">FB2-VER-TMS-000007</w:t>
      </w:r>
      <w:r>
        <w:t xml:space="preserve"> </w:t>
      </w:r>
      <w:r>
        <w:t xml:space="preserve">(verifies SWR-001/002/003,</w:t>
      </w:r>
      <w:r>
        <w:t xml:space="preserve"> </w:t>
      </w:r>
      <w:r>
        <w:rPr>
          <w:rStyle w:val="VerbatimChar"/>
        </w:rPr>
        <w:t xml:space="preserve">LNK-039/040/041</w:t>
      </w:r>
      <w:r>
        <w:t xml:space="preserve">).</w:t>
      </w:r>
    </w:p>
    <w:bookmarkEnd w:id="53"/>
    <w:bookmarkStart w:id="54" w:name="test-cases-2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 (stub unexecuted)</w:t>
      </w:r>
    </w:p>
    <w:bookmarkEnd w:id="54"/>
    <w:bookmarkStart w:id="55" w:name="execution-report-2"/>
    <w:p>
      <w:pPr>
        <w:pStyle w:val="Heading3"/>
      </w:pPr>
      <w:r>
        <w:t xml:space="preserve">Execution Report</w:t>
      </w:r>
    </w:p>
    <w:p>
      <w:pPr>
        <w:pStyle w:val="FirstParagraph"/>
      </w:pPr>
      <w:r>
        <w:rPr>
          <w:rStyle w:val="VerbatimChar"/>
        </w:rPr>
        <w:t xml:space="preserve">FB2-VER-EXE-000007</w:t>
      </w:r>
      <w:r>
        <w:t xml:space="preserve"> </w:t>
      </w:r>
      <w:r>
        <w:t xml:space="preserve">(synthetic_reference):</w:t>
      </w:r>
      <w:r>
        <w:t xml:space="preserve"> </w:t>
      </w:r>
      <w:r>
        <w:rPr>
          <w:rStyle w:val="VerbatimChar"/>
        </w:rPr>
        <w:t xml:space="preserve">execution_kind: 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outcome: blocked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result_of</w:t>
      </w:r>
      <w:r>
        <w:t xml:space="preserve"> </w:t>
      </w:r>
      <w:r>
        <w:rPr>
          <w:rStyle w:val="VerbatimChar"/>
        </w:rPr>
        <w:t xml:space="preserve">LNK-053</w:t>
      </w:r>
      <w:r>
        <w:t xml:space="preserve">) — integration harness not in corpus scope; recorded honestly, no run performed.</w:t>
      </w:r>
    </w:p>
    <w:bookmarkEnd w:id="55"/>
    <w:bookmarkEnd w:id="56"/>
    <w:bookmarkStart w:id="60" w:name="hil-testing"/>
    <w:p>
      <w:pPr>
        <w:pStyle w:val="Heading2"/>
      </w:pPr>
      <w:r>
        <w:t xml:space="preserve">HIL Testing</w:t>
      </w:r>
    </w:p>
    <w:bookmarkStart w:id="57" w:name="test-specification-3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hil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 The HIL measure exists as a draft stub:</w:t>
      </w:r>
      <w:r>
        <w:t xml:space="preserve"> </w:t>
      </w:r>
      <w:r>
        <w:rPr>
          <w:rStyle w:val="VerbatimChar"/>
        </w:rPr>
        <w:t xml:space="preserve">FB2-VER-TMS-000011</w:t>
      </w:r>
      <w:r>
        <w:t xml:space="preserve"> </w:t>
      </w:r>
      <w:r>
        <w:t xml:space="preserve">(verifies FSR-001..004,</w:t>
      </w:r>
      <w:r>
        <w:t xml:space="preserve"> </w:t>
      </w:r>
      <w:r>
        <w:rPr>
          <w:rStyle w:val="VerbatimChar"/>
        </w:rPr>
        <w:t xml:space="preserve">LNK-049/050/051/052</w:t>
      </w:r>
      <w:r>
        <w:t xml:space="preserve">).</w:t>
      </w:r>
    </w:p>
    <w:bookmarkEnd w:id="57"/>
    <w:bookmarkStart w:id="58" w:name="test-cases-3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 (stub unexecuted)</w:t>
      </w:r>
    </w:p>
    <w:bookmarkEnd w:id="58"/>
    <w:bookmarkStart w:id="59" w:name="execution-report-3"/>
    <w:p>
      <w:pPr>
        <w:pStyle w:val="Heading3"/>
      </w:pPr>
      <w:r>
        <w:t xml:space="preserve">Execution Report</w:t>
      </w:r>
    </w:p>
    <w:p>
      <w:pPr>
        <w:pStyle w:val="FirstParagraph"/>
      </w:pPr>
      <w:r>
        <w:rPr>
          <w:rStyle w:val="VerbatimChar"/>
        </w:rPr>
        <w:t xml:space="preserve">FB2-VER-EXE-000011</w:t>
      </w:r>
      <w:r>
        <w:t xml:space="preserve"> </w:t>
      </w:r>
      <w:r>
        <w:t xml:space="preserve">(synthetic_reference):</w:t>
      </w:r>
      <w:r>
        <w:t xml:space="preserve"> </w:t>
      </w:r>
      <w:r>
        <w:rPr>
          <w:rStyle w:val="VerbatimChar"/>
        </w:rPr>
        <w:t xml:space="preserve">execution_kind: 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outcome: blocked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result_of</w:t>
      </w:r>
      <w:r>
        <w:t xml:space="preserve"> </w:t>
      </w:r>
      <w:r>
        <w:rPr>
          <w:rStyle w:val="VerbatimChar"/>
        </w:rPr>
        <w:t xml:space="preserve">LNK-057</w:t>
      </w:r>
      <w:r>
        <w:t xml:space="preserve">) — HIL bench unpublished upstream (</w:t>
      </w:r>
      <w:r>
        <w:rPr>
          <w:rStyle w:val="VerbatimChar"/>
        </w:rPr>
        <w:t xml:space="preserve">tests/hil</w:t>
      </w:r>
      <w:r>
        <w:t xml:space="preserve"> </w:t>
      </w:r>
      <w:r>
        <w:t xml:space="preserve">placeholder); recorded honestly, no run performed.</w:t>
      </w:r>
    </w:p>
    <w:bookmarkEnd w:id="59"/>
    <w:bookmarkEnd w:id="60"/>
    <w:bookmarkStart w:id="61" w:name="X04de6ab7742e7bc5b9343654685b7e074622cb8"/>
    <w:p>
      <w:pPr>
        <w:pStyle w:val="Heading2"/>
      </w:pPr>
      <w:r>
        <w:t xml:space="preserve">Execution Traceability and Evidence Limits</w:t>
      </w:r>
    </w:p>
    <w:p>
      <w:pPr>
        <w:pStyle w:val="FirstParagraph"/>
      </w:pPr>
      <w:r>
        <w:rPr>
          <w:rStyle w:val="VerbatimChar"/>
        </w:rPr>
        <w:t xml:space="preserve">result_of</w:t>
      </w:r>
      <w:r>
        <w:t xml:space="preserve"> </w:t>
      </w:r>
      <w:r>
        <w:t xml:space="preserve">links (execution → test measure): as_is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FB2-LNK-SAF-000018</w:t>
      </w:r>
      <w:r>
        <w:t xml:space="preserve">), plus blocked records</w:t>
      </w:r>
      <w:r>
        <w:t xml:space="preserve"> </w:t>
      </w:r>
      <w:r>
        <w:rPr>
          <w:rStyle w:val="VerbatimChar"/>
        </w:rPr>
        <w:t xml:space="preserve">FB2-VER-EXE-000002..000005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FB2-VER-TMS-000002..000005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FB2-LNK-SAF-000026..029</w:t>
      </w:r>
      <w:r>
        <w:t xml:space="preserve">); synthetic</w:t>
      </w:r>
      <w:r>
        <w:t xml:space="preserve"> </w:t>
      </w:r>
      <w:r>
        <w:rPr>
          <w:rStyle w:val="VerbatimChar"/>
        </w:rPr>
        <w:t xml:space="preserve">FB2-VER-EXE-000001..000006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FB2-VER-TMS-000001..000006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FB2-LNK-SAF-000033..038</w:t>
      </w:r>
      <w:r>
        <w:t xml:space="preserve">), plus blocked records</w:t>
      </w:r>
      <w:r>
        <w:t xml:space="preserve"> </w:t>
      </w:r>
      <w:r>
        <w:rPr>
          <w:rStyle w:val="VerbatimChar"/>
        </w:rPr>
        <w:t xml:space="preserve">FB2-VER-EXE-000007..000011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FB2-VER-TMS-000007..000011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FB2-LNK-SAF-000053..057</w:t>
      </w:r>
      <w:r>
        <w:t xml:space="preserve">).</w:t>
      </w:r>
    </w:p>
    <w:p>
      <w:pPr>
        <w:pStyle w:val="Compact"/>
        <w:numPr>
          <w:ilvl w:val="0"/>
          <w:numId w:val="1057"/>
        </w:numPr>
      </w:pPr>
      <w:r>
        <w:t xml:space="preserve">as_is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PASS (</w:t>
      </w:r>
      <w:r>
        <w:rPr>
          <w:rStyle w:val="VerbatimChar"/>
        </w:rPr>
        <w:t xml:space="preserve">FB2-VER-EXE-000001</w:t>
      </w:r>
      <w:r>
        <w:t xml:space="preserve">) is not independently substantiated: log/coverage hashes are</w:t>
      </w:r>
      <w:r>
        <w:t xml:space="preserve"> </w:t>
      </w:r>
      <w:r>
        <w:rPr>
          <w:rStyle w:val="VerbatimChar"/>
        </w:rPr>
        <w:t xml:space="preserve">sha256:placeholder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output_hashes</w:t>
      </w:r>
      <w:r>
        <w:t xml:space="preserve"> </w:t>
      </w:r>
      <w:r>
        <w:t xml:space="preserve">empty, per-run logs not retained.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have recorded blocked executions (</w:t>
      </w:r>
      <w:r>
        <w:rPr>
          <w:rStyle w:val="VerbatimChar"/>
        </w:rPr>
        <w:t xml:space="preserve">outcome: blocked</w:t>
      </w:r>
      <w:r>
        <w:t xml:space="preserve"> </w:t>
      </w:r>
      <w:r>
        <w:t xml:space="preserve">— upstream CI runs not captured in corpus).</w:t>
      </w:r>
    </w:p>
    <w:p>
      <w:pPr>
        <w:pStyle w:val="Compact"/>
        <w:numPr>
          <w:ilvl w:val="0"/>
          <w:numId w:val="1057"/>
        </w:numPr>
      </w:pPr>
      <w:r>
        <w:t xml:space="preserve">Synthetic pass executions are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results demonstrating corpus structure only (</w:t>
      </w:r>
      <w:r>
        <w:rPr>
          <w:rStyle w:val="VerbatimChar"/>
        </w:rPr>
        <w:t xml:space="preserve">product_verification_credit: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human_approval_status: pending</w:t>
      </w:r>
      <w:r>
        <w:t xml:space="preserve">).</w:t>
      </w:r>
    </w:p>
    <w:p>
      <w:pPr>
        <w:pStyle w:val="Compact"/>
        <w:numPr>
          <w:ilvl w:val="0"/>
          <w:numId w:val="1057"/>
        </w:numPr>
      </w:pPr>
      <w:r>
        <w:t xml:space="preserve">Planning stubs</w:t>
      </w:r>
      <w:r>
        <w:t xml:space="preserve"> </w:t>
      </w:r>
      <w:r>
        <w:rPr>
          <w:rStyle w:val="VerbatimChar"/>
        </w:rPr>
        <w:t xml:space="preserve">FB2-VER-TMS-000007..000011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/</w:t>
      </w:r>
      <w:r>
        <w:rPr>
          <w:rStyle w:val="VerbatimChar"/>
        </w:rPr>
        <w:t xml:space="preserve">validates</w:t>
      </w:r>
      <w:r>
        <w:t xml:space="preserve"> </w:t>
      </w:r>
      <w:r>
        <w:t xml:space="preserve">links and recorded blocked executions (</w:t>
      </w:r>
      <w:r>
        <w:rPr>
          <w:rStyle w:val="VerbatimChar"/>
        </w:rPr>
        <w:t xml:space="preserve">outcome: blocked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execution_kind: none</w:t>
      </w:r>
      <w:r>
        <w:t xml:space="preserve">) — no fabricated runs.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Verification Report</dc:title>
  <dc:creator>foxBMS 2 Lifecycle Artifact Corpus</dc:creator>
  <cp:keywords/>
  <dcterms:created xsi:type="dcterms:W3CDTF">2026-09-20T02:31:51Z</dcterms:created>
  <dcterms:modified xsi:type="dcterms:W3CDTF">2026-09-20T02:31:51Z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2026-09-20</vt:lpwstr>
  </property>
</Properties>
</file>