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components, available integration evidence, and explicit integration gaps. Per governance policy, evidence is blocked, not fabricated.</w:t>
      </w:r>
    </w:p>
    <w:bookmarkEnd w:id="20"/>
    <w:bookmarkStart w:id="24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1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1"/>
    <w:bookmarkStart w:id="22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bookmarkEnd w:id="22"/>
    <w:bookmarkStart w:id="23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3"/>
    <w:bookmarkEnd w:id="24"/>
    <w:bookmarkStart w:id="28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5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-1"/>
    <w:p>
      <w:pPr>
        <w:pStyle w:val="Heading3"/>
      </w:pPr>
      <w:r>
        <w:t xml:space="preserve">Integration Evidence</w:t>
      </w:r>
    </w:p>
    <w:p>
      <w:pPr>
        <w:pStyle w:val="FirstParagraph"/>
      </w:pPr>
      <w:r>
        <w:t xml:space="preserve">No execution artifacts in this profile. Integration-level executions:</w:t>
      </w:r>
      <w:r>
        <w:t xml:space="preserve"> </w:t>
      </w:r>
      <w:r>
        <w:rPr>
          <w:b/>
          <w:bCs/>
        </w:rPr>
        <w:t xml:space="preserve">none in corpus</w:t>
      </w:r>
      <w:r>
        <w:t xml:space="preserve">.</w:t>
      </w:r>
    </w:p>
    <w:bookmarkEnd w:id="26"/>
    <w:bookmarkStart w:id="27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2026-09-12T01:01:55Z</dcterms:created>
  <dcterms:modified xsi:type="dcterms:W3CDTF">2026-09-12T01:01:55Z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