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foxbms-2-software-verification-report"/>
    <w:p>
      <w:pPr>
        <w:pStyle w:val="Heading1"/>
      </w:pPr>
      <w:r>
        <w:t xml:space="preserve">foxBMS 2 — Software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verification by level: (1) reverse-engineered unit verification evidence — the full per-module unit-test inventory from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; (2) corpus test levels (unit, component, integration, HIL) with cases, execution reports, execution_kind labeled; actual vs synthetic distinguished.</w:t>
      </w:r>
    </w:p>
    <w:bookmarkEnd w:id="20"/>
    <w:bookmarkStart w:id="21" w:name="X5ce79628f51aefec3b956c7872b295b3d0215b9"/>
    <w:p>
      <w:pPr>
        <w:pStyle w:val="Heading2"/>
      </w:pPr>
      <w:r>
        <w:t xml:space="preserve">Reverse-Engineered Unit Verification Evidence</w:t>
      </w:r>
    </w:p>
    <w:p>
      <w:pPr>
        <w:pStyle w:val="FirstParagraph"/>
      </w:pPr>
      <w:r>
        <w:t xml:space="preserve">The repository carries</w:t>
      </w:r>
      <w:r>
        <w:t xml:space="preserve"> </w:t>
      </w:r>
      <w:r>
        <w:rPr>
          <w:b/>
          <w:bCs/>
        </w:rPr>
        <w:t xml:space="preserve">313 C unit test files</w:t>
      </w:r>
      <w:r>
        <w:t xml:space="preserve"> </w:t>
      </w:r>
      <w:r>
        <w:t xml:space="preserve">(Ceedling/Unity, host-based) in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. Per-module inventory: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test_algorithm.c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test_bal.c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test_bms.c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test_ethernet_freertos.c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test_plausibility.c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test_adc.c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test_can_2.c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test_can_can_message_notification.c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test_contactor.c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test_dma_dma_group_a_notification.c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test_dma_nxp.c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test_dma_uart.c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test_utils.c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test_fram.c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test_htsensor.c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test_imd.c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test_interlock.c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test_led.c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test_mcu.c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test_meas.c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test_pex.c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test_dp83869.c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test_pwm.c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test_nxpfs85xx.c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test_nxpfs85xx_mcu_spi_transfer_data.c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test_sbc.c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test_spi_adi.c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test_spi_debug.c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test_spi_ltc.c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test_spi_mxm.c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test_spi_nxp.c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test_beta.c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test_uart_sci_notification.c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test_database_helper.c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test_diag.c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test_master_info.c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test_sys.c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test_sys_mon.c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test_ftask_emac.c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test_timer.c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of the module inventory</w:t>
      </w:r>
      <w:r>
        <w:t xml:space="preserve">: 40/40 modules have direct unit tests; config files are covered by</w:t>
      </w:r>
      <w:r>
        <w:t xml:space="preserve"> </w:t>
      </w:r>
      <w:r>
        <w:rPr>
          <w:rStyle w:val="VerbatimChar"/>
        </w:rPr>
        <w:t xml:space="preserve">*/config</w:t>
      </w:r>
      <w:r>
        <w:t xml:space="preserve"> </w:t>
      </w:r>
      <w:r>
        <w:t xml:space="preserve">test folders (e.g. </w:t>
      </w:r>
      <w:r>
        <w:rPr>
          <w:rStyle w:val="VerbatimChar"/>
        </w:rPr>
        <w:t xml:space="preserve">tests/unit/app/application/config/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task/config/</w:t>
      </w:r>
      <w:r>
        <w:t xml:space="preserve">).</w:t>
      </w:r>
    </w:p>
    <w:p>
      <w:pPr>
        <w:pStyle w:val="BodyText"/>
      </w:pPr>
      <w:r>
        <w:t xml:space="preserve">CI enforces the run of these tests for every revision; the coverage report MUST reach 100% line and branch coverage (</w:t>
      </w:r>
      <w:r>
        <w:rPr>
          <w:rStyle w:val="VerbatimChar"/>
        </w:rPr>
        <w:t xml:space="preserve">docs/developer-manual/software/software-testing.rst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docs/software/unit-tests/unit-tests.rst</w:t>
      </w:r>
      <w:r>
        <w:t xml:space="preserve">).</w:t>
      </w:r>
    </w:p>
    <w:bookmarkEnd w:id="21"/>
    <w:bookmarkStart w:id="46" w:name="unit-testing"/>
    <w:p>
      <w:pPr>
        <w:pStyle w:val="Heading2"/>
      </w:pPr>
      <w:r>
        <w:t xml:space="preserve">Unit Testing</w:t>
      </w:r>
    </w:p>
    <w:bookmarkStart w:id="36" w:name="test-specification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links per test measure (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execution links in Execution Report). Full requirement chain above each measure:</w:t>
      </w:r>
      <w:r>
        <w:t xml:space="preserve"> </w:t>
      </w:r>
      <w:r>
        <w:rPr>
          <w:rStyle w:val="VerbatimChar"/>
        </w:rPr>
        <w:t xml:space="preserve">HAZ-000001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LNK-001</w:t>
      </w:r>
      <w:r>
        <w:t xml:space="preserve">) ← FSR (</w:t>
      </w:r>
      <w:r>
        <w:rPr>
          <w:rStyle w:val="VerbatimChar"/>
        </w:rPr>
        <w:t xml:space="preserve">LNK-002/003/004</w:t>
      </w:r>
      <w:r>
        <w:t xml:space="preserve">,</w:t>
      </w:r>
      <w:r>
        <w:t xml:space="preserve"> </w:t>
      </w:r>
      <w:r>
        <w:rPr>
          <w:rStyle w:val="VerbatimChar"/>
        </w:rPr>
        <w:t xml:space="preserve">LNK-021</w:t>
      </w:r>
      <w:r>
        <w:t xml:space="preserve"> </w:t>
      </w:r>
      <w:r>
        <w:t xml:space="preserve">synthetic FSR-004) ← TSR/SWR allocation (</w:t>
      </w:r>
      <w:r>
        <w:rPr>
          <w:rStyle w:val="VerbatimChar"/>
        </w:rPr>
        <w:t xml:space="preserve">LNK-005..010</w:t>
      </w:r>
      <w:r>
        <w:t xml:space="preserve">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(</w:t>
            </w: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links)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LNK-014/015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LNK-016/017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LNK-021/022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LNK-023/024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LNK-022/023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LNK-024/025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LNK-026/027/028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LNK-029/030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FB2-VER-TMS-000007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SWR-000001/002/003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LNK-039/040/041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FB2-VER-TMS-000008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FSR-000001/002/003/004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LNK-042/043/044/045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FB2-VER-TMS-000009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SGO-000001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SCO-000001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LNK-046/047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validates</w:t>
            </w:r>
            <w:r>
              <w:t xml:space="preserve">)</w:t>
            </w:r>
          </w:p>
        </w:tc>
      </w:tr>
    </w:tbl>
    <w:bookmarkStart w:id="22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2"/>
    <w:bookmarkStart w:id="23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3"/>
    <w:bookmarkStart w:id="24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4"/>
    <w:bookmarkStart w:id="25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5"/>
    <w:bookmarkStart w:id="26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6"/>
    <w:bookmarkStart w:id="27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7"/>
    <w:bookmarkStart w:id="28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28"/>
    <w:bookmarkStart w:id="29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29"/>
    <w:bookmarkStart w:id="30" w:name="X737e6f1a549c1d9bcd37d3264f2ee68ea0eb3b1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Independent Voltage Monitor Reaction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independent monitor detects overvoltage and opens contactors on diverse path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Inject cell voltage above monitor threshold</w:t>
      </w:r>
      <w:r>
        <w:t xml:space="preserve"> </w:t>
      </w:r>
      <w:r>
        <w:t xml:space="preserve">→ expected: Monitor path triggers independent open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Hold violation beyond monitor reaction time</w:t>
      </w:r>
      <w:r>
        <w:t xml:space="preserve"> </w:t>
      </w:r>
      <w:r>
        <w:t xml:space="preserve">→ expected: Contactors opened within 80 ms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Verify path independence from primary SOA</w:t>
      </w:r>
      <w:r>
        <w:t xml:space="preserve"> </w:t>
      </w:r>
      <w:r>
        <w:t xml:space="preserve">→ expected: Reaction with primary path disabled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independent_open_latency_ms</w:t>
      </w:r>
      <w:r>
        <w:t xml:space="preserve"> </w:t>
      </w:r>
      <w:r>
        <w:t xml:space="preserve">= &lt;80 (tolerance exact)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path_independent</w:t>
      </w:r>
      <w:r>
        <w:t xml:space="preserve"> </w:t>
      </w:r>
      <w:r>
        <w:t xml:space="preserve">= true (tolerance exact)</w:t>
      </w:r>
    </w:p>
    <w:bookmarkEnd w:id="30"/>
    <w:bookmarkStart w:id="31" w:name="Xda4f405e3536f59189286153e7737b06d7f3cd8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AFE Communication Integrity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Verify AFE SPI communication integrity under frame corruption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PEC of AFE response frame</w:t>
      </w:r>
      <w:r>
        <w:t xml:space="preserve"> </w:t>
      </w:r>
      <w:r>
        <w:t xml:space="preserve">→ expected: Communication error reported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Verify retry counter</w:t>
      </w:r>
      <w:r>
        <w:t xml:space="preserve"> </w:t>
      </w:r>
      <w:r>
        <w:t xml:space="preserve">→ expected: Error counter increments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beyond tolerance</w:t>
      </w:r>
      <w:r>
        <w:t xml:space="preserve"> </w:t>
      </w:r>
      <w:r>
        <w:t xml:space="preserve">→ expected: AFE communication diagnosis entry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afe_diag_entry</w:t>
      </w:r>
      <w:r>
        <w:t xml:space="preserve"> </w:t>
      </w:r>
      <w:r>
        <w:t xml:space="preserve">= true (tolerance exact)</w:t>
      </w:r>
    </w:p>
    <w:bookmarkEnd w:id="31"/>
    <w:bookmarkStart w:id="32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2"/>
    <w:bookmarkStart w:id="33" w:name="X7843905b541afda89242109907c22d753fc016c"/>
    <w:p>
      <w:pPr>
        <w:pStyle w:val="Heading4"/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— Test: Software Integration Chain (synthetic_reference, draft planning stub)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Objective</w:t>
      </w:r>
      <w:r>
        <w:t xml:space="preserve">: Define the software integration verification intent for the SOA-database-contactor chain; no execution performed (harness 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Preconditions</w:t>
      </w:r>
      <w:r>
        <w:t xml:space="preserve">: SOA, database and contactor units available as host builds; integration harness defined (blocked)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Publish violated cell voltage set to database via MEAS path</w:t>
      </w:r>
      <w:r>
        <w:t xml:space="preserve"> </w:t>
      </w:r>
      <w:r>
        <w:t xml:space="preserve">→ expected: SOA reads violated set within task cycle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SOA fault request propagates to BMS state machine</w:t>
      </w:r>
      <w:r>
        <w:t xml:space="preserve"> </w:t>
      </w:r>
      <w:r>
        <w:t xml:space="preserve">→ expected: FAULT state entered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contactor open command issued</w:t>
      </w:r>
      <w:r>
        <w:t xml:space="preserve"> </w:t>
      </w:r>
      <w:r>
        <w:t xml:space="preserve">→ expected: Coil de-energize commanded within 5 ms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chain_fault_to_open_verified</w:t>
      </w:r>
      <w:r>
        <w:t xml:space="preserve"> </w:t>
      </w:r>
      <w:r>
        <w:t xml:space="preserve">= true (tolerance exact)</w:t>
      </w:r>
    </w:p>
    <w:bookmarkEnd w:id="33"/>
    <w:bookmarkStart w:id="34" w:name="Xe35320e3f3868f74c643567ba35a5aaeca821ab"/>
    <w:p>
      <w:pPr>
        <w:pStyle w:val="Heading4"/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— Test: System Qualification (synthetic_reference, draft planning stub)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qualification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Objective</w:t>
      </w:r>
      <w:r>
        <w:t xml:space="preserve">: Define the system/software qualification verification intent against FSR-001..004 end to end; no execution performed (harness/target 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Preconditions</w:t>
      </w:r>
      <w:r>
        <w:t xml:space="preserve">: Integrated system build available (blocked); qualification environment defined (blocked)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Target + HIL bench (blocked — unpublished); Unity/CMock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Drive cell-voltage limit violation at system boundary</w:t>
      </w:r>
      <w:r>
        <w:t xml:space="preserve"> </w:t>
      </w:r>
      <w:r>
        <w:t xml:space="preserve">→ expected: FAULT state reached end to end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contactor open within FTTI budget</w:t>
      </w:r>
      <w:r>
        <w:t xml:space="preserve"> </w:t>
      </w:r>
      <w:r>
        <w:t xml:space="preserve">→ expected: Timing within 100 ms FTTI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DIAG records safety reaction</w:t>
      </w:r>
      <w:r>
        <w:t xml:space="preserve"> </w:t>
      </w:r>
      <w:r>
        <w:t xml:space="preserve">→ expected: Diagnosis entry present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qual_chain_pass</w:t>
      </w:r>
      <w:r>
        <w:t xml:space="preserve"> </w:t>
      </w:r>
      <w:r>
        <w:t xml:space="preserve">= true (tolerance exact)</w:t>
      </w:r>
    </w:p>
    <w:bookmarkEnd w:id="34"/>
    <w:bookmarkStart w:id="35" w:name="Xd9a68829aa9fd01c7dc5fe0f5f9c5b2761dcadc"/>
    <w:p>
      <w:pPr>
        <w:pStyle w:val="Heading4"/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— Test: Stakeholder Validation (synthetic_reference, draft planning stub)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Objective</w:t>
      </w:r>
      <w:r>
        <w:t xml:space="preserve">: Define the validation intent of cell-voltage stakeholder use cases; no execution performed (environment 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Preconditions</w:t>
      </w:r>
      <w:r>
        <w:t xml:space="preserve">: Stakeholder use cases baselined; validation environment defined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Operational target vehicle/bench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normal-operation charging use case</w:t>
      </w:r>
      <w:r>
        <w:t xml:space="preserve"> </w:t>
      </w:r>
      <w:r>
        <w:t xml:space="preserve">→ expected: No spurious safety reaction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overvoltage field scenario</w:t>
      </w:r>
      <w:r>
        <w:t xml:space="preserve"> </w:t>
      </w:r>
      <w:r>
        <w:t xml:space="preserve">→ expected: System reaches safe state, stakeholder acceptance criteria met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validation_accepted</w:t>
      </w:r>
      <w:r>
        <w:t xml:space="preserve"> </w:t>
      </w:r>
      <w:r>
        <w:t xml:space="preserve">= true (tolerance exact)</w:t>
      </w:r>
    </w:p>
    <w:bookmarkEnd w:id="35"/>
    <w:bookmarkEnd w:id="36"/>
    <w:bookmarkStart w:id="37" w:name="test-cases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(synthetic_reference, draft stub): 2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43</w:t>
      </w:r>
    </w:p>
    <w:bookmarkEnd w:id="37"/>
    <w:bookmarkStart w:id="45" w:name="execution-report"/>
    <w:p>
      <w:pPr>
        <w:pStyle w:val="Heading3"/>
      </w:pPr>
      <w:r>
        <w:t xml:space="preserve">Execution Report</w:t>
      </w:r>
    </w:p>
    <w:bookmarkStart w:id="38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8"/>
    <w:bookmarkStart w:id="39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9"/>
    <w:bookmarkStart w:id="40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0"/>
    <w:bookmarkStart w:id="41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41"/>
    <w:bookmarkStart w:id="42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42"/>
    <w:bookmarkStart w:id="43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43"/>
    <w:bookmarkStart w:id="44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44"/>
    <w:bookmarkEnd w:id="45"/>
    <w:bookmarkEnd w:id="46"/>
    <w:bookmarkStart w:id="50" w:name="component-testing"/>
    <w:p>
      <w:pPr>
        <w:pStyle w:val="Heading2"/>
      </w:pPr>
      <w:r>
        <w:t xml:space="preserve">Component Testing</w:t>
      </w:r>
    </w:p>
    <w:bookmarkStart w:id="47" w:name="test-specification-1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47"/>
    <w:bookmarkStart w:id="48" w:name="test-cases-1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48"/>
    <w:bookmarkStart w:id="49" w:name="execution-report-1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execution artifacts in the corpus — gap (blocked, not fabricated).</w:t>
      </w:r>
    </w:p>
    <w:bookmarkEnd w:id="49"/>
    <w:bookmarkEnd w:id="50"/>
    <w:bookmarkStart w:id="54" w:name="integration-testing"/>
    <w:p>
      <w:pPr>
        <w:pStyle w:val="Heading2"/>
      </w:pPr>
      <w:r>
        <w:t xml:space="preserve">Integration Testing</w:t>
      </w:r>
    </w:p>
    <w:bookmarkStart w:id="51" w:name="test-specification-2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51"/>
    <w:bookmarkStart w:id="52" w:name="test-cases-2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2"/>
    <w:bookmarkStart w:id="53" w:name="execution-report-2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execution artifacts in the corpus — gap (blocked, not fabricated).</w:t>
      </w:r>
    </w:p>
    <w:bookmarkEnd w:id="53"/>
    <w:bookmarkEnd w:id="54"/>
    <w:bookmarkStart w:id="58" w:name="hil-testing"/>
    <w:p>
      <w:pPr>
        <w:pStyle w:val="Heading2"/>
      </w:pPr>
      <w:r>
        <w:t xml:space="preserve">HIL Testing</w:t>
      </w:r>
    </w:p>
    <w:bookmarkStart w:id="55" w:name="test-specification-3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hil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55"/>
    <w:bookmarkStart w:id="56" w:name="test-cases-3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6"/>
    <w:bookmarkStart w:id="57" w:name="execution-report-3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 target-HIL executions exist in the corpus — per governance policy, actual product evidence = 0 (blocked, not fabricated).</w:t>
      </w:r>
    </w:p>
    <w:bookmarkEnd w:id="57"/>
    <w:bookmarkEnd w:id="58"/>
    <w:bookmarkStart w:id="59" w:name="X04de6ab7742e7bc5b9343654685b7e074622cb8"/>
    <w:p>
      <w:pPr>
        <w:pStyle w:val="Heading2"/>
      </w:pPr>
      <w:r>
        <w:t xml:space="preserve">Execution Traceability and Evidence Limits</w:t>
      </w:r>
    </w:p>
    <w:p>
      <w:pPr>
        <w:pStyle w:val="FirstParagraph"/>
      </w:pPr>
      <w:r>
        <w:rPr>
          <w:rStyle w:val="VerbatimChar"/>
        </w:rPr>
        <w:t xml:space="preserve">result_of</w:t>
      </w:r>
      <w:r>
        <w:t xml:space="preserve"> </w:t>
      </w:r>
      <w:r>
        <w:t xml:space="preserve">links (execution → test measure): as_is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FB2-LNK-SAF-000018</w:t>
      </w:r>
      <w:r>
        <w:t xml:space="preserve">); synthetic</w:t>
      </w:r>
      <w:r>
        <w:t xml:space="preserve"> </w:t>
      </w:r>
      <w:r>
        <w:rPr>
          <w:rStyle w:val="VerbatimChar"/>
        </w:rPr>
        <w:t xml:space="preserve">FB2-VER-EXE-000001..000006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FB2-VER-TMS-000001..000006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FB2-LNK-SAF-000033..038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as_is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PASS (</w:t>
      </w:r>
      <w:r>
        <w:rPr>
          <w:rStyle w:val="VerbatimChar"/>
        </w:rPr>
        <w:t xml:space="preserve">FB2-VER-EXE-000001</w:t>
      </w:r>
      <w:r>
        <w:t xml:space="preserve">) is not independently substantiated: log/coverage hashes are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empty, per-run logs not retained.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have no execution records — no execution credit inferred.</w:t>
      </w:r>
    </w:p>
    <w:p>
      <w:pPr>
        <w:pStyle w:val="Compact"/>
        <w:numPr>
          <w:ilvl w:val="0"/>
          <w:numId w:val="1051"/>
        </w:numPr>
      </w:pPr>
      <w:r>
        <w:t xml:space="preserve">All synthetic executions are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PASS results demonstrating corpus structure only (</w:t>
      </w:r>
      <w:r>
        <w:rPr>
          <w:rStyle w:val="VerbatimChar"/>
        </w:rPr>
        <w:t xml:space="preserve">product_verification_credit: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Planning stubs</w:t>
      </w:r>
      <w:r>
        <w:t xml:space="preserve"> </w:t>
      </w:r>
      <w:r>
        <w:rPr>
          <w:rStyle w:val="VerbatimChar"/>
        </w:rPr>
        <w:t xml:space="preserve">FB2-VER-TMS-000007</w:t>
      </w:r>
      <w:r>
        <w:t xml:space="preserve"> </w:t>
      </w:r>
      <w:r>
        <w:t xml:space="preserve">(integration),</w:t>
      </w:r>
      <w:r>
        <w:t xml:space="preserve"> </w:t>
      </w:r>
      <w:r>
        <w:rPr>
          <w:rStyle w:val="VerbatimChar"/>
        </w:rPr>
        <w:t xml:space="preserve">FB2-VER-TMS-000008</w:t>
      </w:r>
      <w:r>
        <w:t xml:space="preserve"> </w:t>
      </w:r>
      <w:r>
        <w:t xml:space="preserve">(qualification),</w:t>
      </w:r>
      <w:r>
        <w:t xml:space="preserve"> </w:t>
      </w:r>
      <w:r>
        <w:rPr>
          <w:rStyle w:val="VerbatimChar"/>
        </w:rPr>
        <w:t xml:space="preserve">FB2-VER-TMS-000009</w:t>
      </w:r>
      <w:r>
        <w:t xml:space="preserve"> </w:t>
      </w:r>
      <w:r>
        <w:t xml:space="preserve">(validation) have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/</w:t>
      </w:r>
      <w:r>
        <w:rPr>
          <w:rStyle w:val="VerbatimChar"/>
        </w:rPr>
        <w:t xml:space="preserve">validates</w:t>
      </w:r>
      <w:r>
        <w:t xml:space="preserve"> </w:t>
      </w:r>
      <w:r>
        <w:t xml:space="preserve">links but no execution records. Component-level measures remain absent; component, integration, and HIL executions are all zero (blocked, not fabricated).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Verification Report</dc:title>
  <dc:creator>foxBMS 2 Lifecycle Artifact Corpus</dc:creator>
  <cp:keywords/>
  <dcterms:created xsi:type="dcterms:W3CDTF">2026-09-18T16:56:51Z</dcterms:created>
  <dcterms:modified xsi:type="dcterms:W3CDTF">2026-09-18T16:56:51Z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2026-09-18</vt:lpwstr>
  </property>
</Properties>
</file>