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Implementation Mapping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foxbms-2-implementation-mapping-document"/>
    <w:p>
      <w:pPr>
        <w:pStyle w:val="Heading1"/>
      </w:pPr>
      <w:r>
        <w:t xml:space="preserve">foxBMS 2 — Implementation Mapping Document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Mapping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Implementation mapping: (1) reverse-engineered module → sources → config → unit-test → documentation mapping for all 40 modules; (2) corpus design → source mappings and requirement → design → source → test chains; (3) the complete requirement-to-test coverage matrix for every requirement artifact in both profiles.</w:t>
      </w:r>
    </w:p>
    <w:bookmarkEnd w:id="20"/>
    <w:bookmarkStart w:id="21" w:name="reverse-engineered-module-mapping"/>
    <w:p>
      <w:pPr>
        <w:pStyle w:val="Heading2"/>
      </w:pPr>
      <w:r>
        <w:t xml:space="preserve">Reverse-Engineered Module Mapping</w:t>
      </w:r>
    </w:p>
    <w:p>
      <w:pPr>
        <w:pStyle w:val="FirstParagraph"/>
      </w:pPr>
      <w:r>
        <w:t xml:space="preserve">Complete mapping of every implemented module to its source files, configuration, unit tests and module documentation (all paths relative to the repository root):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src/app/application/algorithm/algorithm.c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src/app/application/algorithm/algorithm.h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src/app/application/algorithm/config/algorithm_cfg.c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docs/software/modules/application/algorithm/algorithm.rst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src/app/application/bal/bal.c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src/app/application/bal/bal.h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src/app/application/bal/history/bal_strategy_history.c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src/app/application/config/bal_cfg.c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src/app/application/config/bal_cfg.h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docs/software/modules/application/bal/bal.rst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src/app/application/bms/bms.c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src/app/application/bms/bms.h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src/app/application/config/bms_cfg.h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docs/software/modules/application/bms/bms.rst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src/app/application/ethernet/ethernet.c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src/app/application/ethernet/ethernet_freertos.c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src/app/application/config/ethernet_cfg.c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src/app/application/config/ethernet_cfg.h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docs/software/modules/application/ethernet/ethernet.rst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src/app/application/plausibility/plausibility.c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src/app/application/plausibility/plausibility.h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src/app/application/config/plausibility_cfg.h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docs/software/modules/application/plausibility/plausibility.rst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src/app/application/redundancy/redundancy.h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docs/software/modules/application/redundancy/redundancy.rst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src/app/application/config/soa_cfg.c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src/app/application/config/soa_cfg.h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docs/software/modules/application/soa/soa.rst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src/app/driver/adc/adc.c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src/app/driver/adc/adc.h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docs/software/modules/driver/adc/adc.rst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src/app/driver/can/can.h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src/app/driver/can/cbs/can_helper.c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src/app/driver/config/can_cfg.c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src/app/driver/config/can_cfg.h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docs/software/modules/driver/can/can.rst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src/app/driver/config/contactor_cfg.c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src/app/driver/config/contactor_cfg.h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docs/software/modules/driver/contactor/contactor.rst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src/app/driver/crc/crc.c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src/app/driver/crc/crc.h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docs/software/modules/driver/crc/crc.rst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src/app/driver/dma/dma.c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src/app/driver/dma/dma.h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src/app/driver/config/dma_cfg.c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src/app/driver/config/dma_cfg.h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docs/software/modules/driver/dma/dma.rst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src/app/driver/emac/emac-low-level.h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src/app/driver/config/emac_cfg.h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docs/software/modules/driver/emac/emac.rst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src/app/driver/foxmath/foxmath.c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src/app/driver/foxmath/foxmath.h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src/app/driver/foxmath/utils.c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docs/software/modules/driver/foxmath/foxmath.rst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src/app/driver/fram/fram.c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src/app/driver/fram/fram.h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src/app/driver/config/fram_cfg.c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src/app/driver/config/fram_cfg.h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docs/software/modules/driver/fram/fram.rst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src/app/driver/htsensor/htsensor.c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src/app/driver/htsensor/htsensor.h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docs/software/modules/driver/htsensor/htsensor.rst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src/app/driver/i2c/i2c.h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docs/software/modules/driver/i2c/i2c.rst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src/app/driver/imd/bender/ir155/bender_ir155.c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docs/software/modules/driver/imd/imd.rst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src/app/driver/interlock/interlock.c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src/app/driver/interlock/interlock.h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src/app/driver/config/interlock_cfg.h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docs/software/modules/driver/interlock/interlock.rst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src/app/driver/io/io.c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src/app/driver/io/io.h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docs/software/modules/driver/io/io.rst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src/app/driver/led/led.c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src/app/driver/led/led.h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docs/software/modules/driver/led/led.rst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src/app/driver/mcu/mcu.c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src/app/driver/mcu/mcu.h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docs/software/modules/driver/mcu/mcu.rst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src/app/driver/meas/meas.c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src/app/driver/meas/meas.h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docs/software/modules/driver/meas/meas.rst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src/app/driver/pex/pex.c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src/app/driver/pex/pex.h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docs/software/modules/driver/pex/pex.rst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src/app/driver/phy/dp83869.c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src/app/driver/phy/dp83869.h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src/app/driver/config/phy_cfg.h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docs/software/modules/driver/phy/phy.rst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src/app/driver/pwm/pwm.c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src/app/driver/pwm/pwm.h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docs/software/modules/driver/pwm/pwm.rst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src/app/driver/rtc/rtc.h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docs/software/modules/driver/rtc/rtc.rst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src/app/driver/sbc/fs8x_driver/sbc_fs8x_assert.h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docs/software/modules/driver/sbc/sbc.rst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src/app/driver/config/spi_cfg.c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src/app/driver/config/spi_cfg.h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docs/software/modules/driver/spi/spi.rst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src/app/driver/sps/sps.c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src/app/driver/sps/sps_types.h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docs/software/modules/driver/sps/sps.rst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src/app/driver/ts/api/tsi.h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src/app/driver/ts/api/tsi_limits.c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src/app/driver/ts/beta.c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docs/software/modules/driver/ts/ts.rst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src/app/driver/uart/uart.c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src/app/driver/uart/uart.h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src/app/driver/config/uart_cfg.h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docs/software/modules/driver/uart/uart.rst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src/app/engine/config/database_cfg.c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src/app/engine/config/database_cfg.h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docs/software/modules/engine/database/database.rst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src/app/engine/diag/cbs/diag_cbs_aerosol-sensor.c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src/app/engine/diag/cbs/diag_cbs_afe.c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src/app/engine/config/diag_cfg.c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docs/software/modules/engine/diag/diag.rst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src/app/engine/hw_info/master_info.c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src/app/engine/hw_info/master_info.h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docs/software/modules/engine/hw_info/hw_info.rst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src/app/engine/sys/reset.c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src/app/engine/sys/reset.h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src/app/engine/sys/sys.c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docs/software/modules/engine/sys/sys.rst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src/app/engine/sys_mon/sys_mon.c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src/app/engine/sys_mon/sys_mon.h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src/app/engine/config/sys_mon_cfg.c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src/app/engine/config/sys_mon_cfg.h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docs/software/modules/engine/sys_mon/sys_mon.rst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src/app/task/ftask/freertos/ftask_freertos.c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src/app/task/config/ftask_cfg.c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src/app/task/config/ftask_cfg.h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docs/software/modules/task/ftask/ftask.rst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src/app/task/os/freertos/os_freertos.c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src/app/task/os/freertos/os_freertos_config-validation.h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docs/software/modules/task/os/os.rst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src/app/task/timer/timer.c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src/app/task/timer/timer.h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docs/software/modules/task/timer/timer.rst</w:t>
            </w:r>
          </w:p>
        </w:tc>
      </w:tr>
    </w:tbl>
    <w:bookmarkEnd w:id="21"/>
    <w:bookmarkStart w:id="31" w:name="corpus-implementation-mapping"/>
    <w:p>
      <w:pPr>
        <w:pStyle w:val="Heading2"/>
      </w:pPr>
      <w:r>
        <w:t xml:space="preserve">Corpus Implementation Mapping</w:t>
      </w:r>
    </w:p>
    <w:bookmarkStart w:id="22" w:name="X9a09163a7733de27c778feca9f299b4cce42615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2"/>
    <w:bookmarkStart w:id="23" w:name="X8b63106aea7fc2f9e3e3d993182f8a2776372df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3"/>
    <w:bookmarkStart w:id="24" w:name="X25b4c67a22880d2f5425fe198c349e83791aa8b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4"/>
    <w:bookmarkStart w:id="25" w:name="X17806e65c8e8d92adab1bdcfec6df6fc7c6efd7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5"/>
    <w:bookmarkStart w:id="26" w:name="X09c594b2e1a91a908feefaa8af35a4754e8a8bb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6"/>
    <w:bookmarkStart w:id="27" w:name="Xb07ee239e7776e0fb93519b750efb3a31836033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7"/>
    <w:bookmarkStart w:id="30" w:name="requirement-design-source-test-chains"/>
    <w:p>
      <w:pPr>
        <w:pStyle w:val="Heading3"/>
      </w:pPr>
      <w:r>
        <w:t xml:space="preserve">Requirement → Design → Source → Test Chains</w:t>
      </w:r>
    </w:p>
    <w:p>
      <w:pPr>
        <w:pStyle w:val="FirstParagraph"/>
      </w:pPr>
      <w:r>
        <w:rPr>
          <w:rStyle w:val="VerbatimChar"/>
        </w:rPr>
        <w:t xml:space="preserve">implements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 IDs in parentheses.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target requirements, never DSNs. Upstream parent chain shared by all rows: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);</w:t>
      </w:r>
      <w:r>
        <w:t xml:space="preserve"> </w:t>
      </w:r>
      <w:r>
        <w:rPr>
          <w:rStyle w:val="VerbatimChar"/>
        </w:rPr>
        <w:t xml:space="preserve">FSR-000001/002/003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LNK-002/003/004</w:t>
      </w:r>
      <w:r>
        <w:t xml:space="preserve">);</w:t>
      </w:r>
      <w:r>
        <w:t xml:space="preserve"> </w:t>
      </w:r>
      <w:r>
        <w:rPr>
          <w:rStyle w:val="VerbatimChar"/>
        </w:rPr>
        <w:t xml:space="preserve">FSR-000004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LNK-021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only).</w:t>
      </w:r>
    </w:p>
    <w:bookmarkStart w:id="28" w:name="X6bff3a7cb32e4b54748a1bbc183e57d00f6d583"/>
    <w:p>
      <w:pPr>
        <w:pStyle w:val="Heading4"/>
      </w:pPr>
      <w:r>
        <w:t xml:space="preserve">Chains (</w:t>
      </w:r>
      <w:r>
        <w:rPr>
          <w:rStyle w:val="VerbatimChar"/>
        </w:rPr>
        <w:t xml:space="preserve">as_is</w:t>
      </w:r>
      <w:r>
        <w:t xml:space="preserve">, test measures</w:t>
      </w:r>
      <w:r>
        <w:t xml:space="preserve"> </w:t>
      </w:r>
      <w:r>
        <w:rPr>
          <w:rStyle w:val="VerbatimChar"/>
        </w:rPr>
        <w:t xml:space="preserve">source_grounded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FB2-LNK-SAF-000011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  <w:r>
        <w:t xml:space="preserve"> </w:t>
      </w:r>
      <w:r>
        <w:t xml:space="preserve">— allocation</w:t>
      </w:r>
      <w:r>
        <w:t xml:space="preserve"> </w:t>
      </w:r>
      <w:r>
        <w:rPr>
          <w:rStyle w:val="VerbatimChar"/>
        </w:rPr>
        <w:t xml:space="preserve">SWR-000001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LNK-008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LNK-021/022</w:t>
      </w:r>
      <w:r>
        <w:t xml:space="preserve">); execution: none recorded.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FB2-LNK-SAF-000012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  <w:r>
        <w:t xml:space="preserve"> </w:t>
      </w:r>
      <w:r>
        <w:t xml:space="preserve">— allocation</w:t>
      </w:r>
      <w:r>
        <w:t xml:space="preserve"> </w:t>
      </w:r>
      <w:r>
        <w:rPr>
          <w:rStyle w:val="VerbatimChar"/>
        </w:rPr>
        <w:t xml:space="preserve">SWR-000002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LNK-009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LNK-014/015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LNK-018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— hashes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FB2-LNK-SAF-000013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 </w:t>
      </w:r>
      <w:r>
        <w:t xml:space="preserve">— allocation</w:t>
      </w:r>
      <w:r>
        <w:t xml:space="preserve"> </w:t>
      </w:r>
      <w:r>
        <w:rPr>
          <w:rStyle w:val="VerbatimChar"/>
        </w:rPr>
        <w:t xml:space="preserve">SWR-000003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LNK-010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LNK-016/017</w:t>
      </w:r>
      <w:r>
        <w:t xml:space="preserve">); execution: none recorded.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FB2-HW-TSR-000002</w:t>
      </w:r>
      <w:r>
        <w:t xml:space="preserve"> </w:t>
      </w:r>
      <w:r>
        <w:t xml:space="preserve">(allocation</w:t>
      </w:r>
      <w:r>
        <w:t xml:space="preserve"> </w:t>
      </w:r>
      <w:r>
        <w:rPr>
          <w:rStyle w:val="VerbatimChar"/>
        </w:rPr>
        <w:t xml:space="preserve">LNK-005/006</w:t>
      </w:r>
      <w:r>
        <w:t xml:space="preserve">) verified by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LNK-023/024</w:t>
      </w:r>
      <w:r>
        <w:t xml:space="preserve">);</w:t>
      </w:r>
      <w:r>
        <w:t xml:space="preserve"> </w:t>
      </w:r>
      <w:r>
        <w:rPr>
          <w:rStyle w:val="VerbatimChar"/>
        </w:rPr>
        <w:t xml:space="preserve">FB2-HW-TSR-000003</w:t>
      </w:r>
      <w:r>
        <w:t xml:space="preserve"> </w:t>
      </w:r>
      <w:r>
        <w:t xml:space="preserve">(allocation</w:t>
      </w:r>
      <w:r>
        <w:t xml:space="preserve"> </w:t>
      </w:r>
      <w:r>
        <w:rPr>
          <w:rStyle w:val="VerbatimChar"/>
        </w:rPr>
        <w:t xml:space="preserve">LNK-007</w:t>
      </w:r>
      <w:r>
        <w:t xml:space="preserve">) verified by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LNK-025</w:t>
      </w:r>
      <w:r>
        <w:t xml:space="preserve">); execution: none recorded.</w:t>
      </w:r>
    </w:p>
    <w:bookmarkEnd w:id="28"/>
    <w:bookmarkStart w:id="29" w:name="X231c392a481d3ed4ede7034138697e7f9156b5e"/>
    <w:p>
      <w:pPr>
        <w:pStyle w:val="Heading4"/>
      </w:pPr>
      <w:r>
        <w:t xml:space="preserve">Chains (</w:t>
      </w:r>
      <w:r>
        <w:rPr>
          <w:rStyle w:val="VerbatimChar"/>
        </w:rPr>
        <w:t xml:space="preserve">synthetic_reference</w:t>
      </w:r>
      <w:r>
        <w:t xml:space="preserve">, test measures</w:t>
      </w:r>
      <w:r>
        <w:t xml:space="preserve"> </w:t>
      </w:r>
      <w:r>
        <w:rPr>
          <w:rStyle w:val="VerbatimChar"/>
        </w:rPr>
        <w:t xml:space="preserve">synthetic_assumption</w:t>
      </w:r>
      <w:r>
        <w:t xml:space="preserve">, executions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FB2-LNK-SAF-000011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  <w:r>
        <w:t xml:space="preserve"> </w:t>
      </w:r>
      <w:r>
        <w:t xml:space="preserve">— allocation (</w:t>
      </w:r>
      <w:r>
        <w:rPr>
          <w:rStyle w:val="VerbatimChar"/>
        </w:rPr>
        <w:t xml:space="preserve">LNK-008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LNK-026/027/028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LNK-035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FB2-LNK-SAF-000012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  <w:r>
        <w:t xml:space="preserve"> </w:t>
      </w:r>
      <w:r>
        <w:t xml:space="preserve">— allocation (</w:t>
      </w:r>
      <w:r>
        <w:rPr>
          <w:rStyle w:val="VerbatimChar"/>
        </w:rPr>
        <w:t xml:space="preserve">LNK-009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LNK-022/023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LNK-033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FB2-LNK-SAF-000013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 </w:t>
      </w:r>
      <w:r>
        <w:t xml:space="preserve">— allocation (</w:t>
      </w:r>
      <w:r>
        <w:rPr>
          <w:rStyle w:val="VerbatimChar"/>
        </w:rPr>
        <w:t xml:space="preserve">LNK-010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LNK-024/025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LNK-034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LNK-031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LNK-037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;</w:t>
      </w:r>
      <w:r>
        <w:t xml:space="preserve"> </w:t>
      </w:r>
      <w:r>
        <w:rPr>
          <w:rStyle w:val="VerbatimChar"/>
        </w:rPr>
        <w:t xml:space="preserve">FB2-HW-TSR-000003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LNK-032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LNK-038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FB2-SAF-FSR-000004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FB2-HW-TSR-000004</w:t>
      </w:r>
      <w:r>
        <w:t xml:space="preserve">: no allocated SWR or DSN exists; verified by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LNK-029/030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LNK-036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from</w:t>
      </w:r>
      <w:r>
        <w:t xml:space="preserve"> </w:t>
      </w:r>
      <w:r>
        <w:rPr>
          <w:rStyle w:val="VerbatimChar"/>
        </w:rPr>
        <w:t xml:space="preserve">TSR-004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FSR-004</w:t>
      </w:r>
      <w:r>
        <w:t xml:space="preserve"> </w:t>
      </w:r>
      <w:r>
        <w:t xml:space="preserve">in registry.</w:t>
      </w:r>
    </w:p>
    <w:bookmarkEnd w:id="29"/>
    <w:bookmarkEnd w:id="30"/>
    <w:bookmarkEnd w:id="31"/>
    <w:bookmarkStart w:id="34" w:name="requirement-to-test-coverage-matrix"/>
    <w:p>
      <w:pPr>
        <w:pStyle w:val="Heading2"/>
      </w:pPr>
      <w:r>
        <w:t xml:space="preserve">Requirement-to-Test Coverage Matrix</w:t>
      </w:r>
    </w:p>
    <w:p>
      <w:pPr>
        <w:pStyle w:val="FirstParagraph"/>
      </w:pPr>
      <w:r>
        <w:t xml:space="preserve">One row per requirement artifact across FSR/TSR/SWR/management classes, both profiles. Statuses: COVERED-DIRECT (has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link), COVERED-INDIRECT (allocated child is verified), COVERED-EMBEDDED (TMS references requirement), UNCOVERED (explicit gap).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verifies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(child ←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LNK-047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planning stub; no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←FB2-VER-TMS-000003,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←FB2-VER-TMS-000006,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2" w:name="coverage-summary"/>
    <w:p>
      <w:pPr>
        <w:pStyle w:val="Heading3"/>
      </w:pPr>
      <w:r>
        <w:t xml:space="preserve">Coverage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 requirement artifacts</w:t>
      </w:r>
      <w:r>
        <w:t xml:space="preserve">: 21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Covered (any status)</w:t>
      </w:r>
      <w:r>
        <w:t xml:space="preserve">: 21 (100%)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UNCOVERED</w:t>
      </w:r>
      <w:r>
        <w:t xml:space="preserve">: 0</w:t>
      </w:r>
    </w:p>
    <w:p>
      <w:pPr>
        <w:pStyle w:val="FirstParagraph"/>
      </w:pPr>
      <w:r>
        <w:t xml:space="preserve">Statuses above mean test-measure linkage only (see Evidence limits); execution coverage is tracked separately per test measure.</w:t>
      </w:r>
    </w:p>
    <w:p>
      <w:pPr>
        <w:pStyle w:val="BodyText"/>
      </w:pPr>
      <w:r>
        <w:t xml:space="preserve">UNCOVERED requirements are the honest corpus state; the gaps are tracked by review dispositions in</w:t>
      </w:r>
      <w:r>
        <w:t xml:space="preserve"> </w:t>
      </w:r>
      <w:r>
        <w:rPr>
          <w:rStyle w:val="VerbatimChar"/>
        </w:rPr>
        <w:t xml:space="preserve">FB2-REV-000001</w:t>
      </w:r>
      <w:r>
        <w:t xml:space="preserve"> </w:t>
      </w:r>
      <w:r>
        <w:t xml:space="preserve">and the gap report. No coverage is fabricated.</w:t>
      </w:r>
    </w:p>
    <w:bookmarkEnd w:id="32"/>
    <w:bookmarkStart w:id="33" w:name="evidence-limits"/>
    <w:p>
      <w:pPr>
        <w:pStyle w:val="Heading3"/>
      </w:pPr>
      <w:r>
        <w:t xml:space="preserve">Evidence limits</w:t>
      </w:r>
    </w:p>
    <w:p>
      <w:pPr>
        <w:pStyle w:val="Compact"/>
        <w:numPr>
          <w:ilvl w:val="0"/>
          <w:numId w:val="1004"/>
        </w:numPr>
      </w:pPr>
      <w:r>
        <w:t xml:space="preserve">COVERED in the matrix above means test-measure linkage (</w:t>
      </w:r>
      <w:r>
        <w:rPr>
          <w:rStyle w:val="VerbatimChar"/>
        </w:rPr>
        <w:t xml:space="preserve">verifies</w:t>
      </w:r>
      <w:r>
        <w:t xml:space="preserve">), not execution evidence. Execution credit requires a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-linked execution record with retained, checkable evidence.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, only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has an execution record (</w:t>
      </w:r>
      <w:r>
        <w:rPr>
          <w:rStyle w:val="VerbatimChar"/>
        </w:rPr>
        <w:t xml:space="preserve">actual_host_run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), which is not independently substantiated (hashes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no retained per-run logs);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no execution records.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, all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Implementation Mapping Document</dc:title>
  <dc:creator>foxBMS 2 Lifecycle Artifact Corpus</dc:creator>
  <cp:keywords/>
  <dcterms:created xsi:type="dcterms:W3CDTF">2026-09-18T16:56:52Z</dcterms:created>
  <dcterms:modified xsi:type="dcterms:W3CDTF">2026-09-18T16:56:52Z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2026-09-18</vt:lpwstr>
  </property>
</Properties>
</file>