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2026-10-03T11:20:05Z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of both corpus profiles (SWRs grouped under their parent FSR with allocation rationale) plus software requirements reverse-engineered from the 40 implemented modules and the diagnosis/SOA configuration.</w:t>
      </w:r>
    </w:p>
    <w:bookmarkEnd w:id="20"/>
    <w:bookmarkStart w:id="21" w:name="X6317600dfe579ae0fcb6f3227648ee40ae6e828"/>
    <w:p>
      <w:pPr>
        <w:pStyle w:val="Heading2"/>
      </w:pPr>
      <w:r>
        <w:t xml:space="preserve">Reverse-Engineered Software Requirements (module-grounded)</w:t>
      </w:r>
    </w:p>
    <w:p>
      <w:pPr>
        <w:pStyle w:val="FirstParagraph"/>
      </w:pPr>
      <w:r>
        <w:t xml:space="preserve">The implemented software directly satisfies the following software requirements. Each requirement cites its implementing module(s) with repository anchors; unit-test evidence is listed per module in the Detailed Design and Implementation Mapping documents.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modules (anchors)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acquire cell voltages and cell temperatures via the AFE daisy-chain and validate them (plausibility, redundancy).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src/app/driver/afe/*</w:t>
            </w:r>
            <w:r>
              <w:t xml:space="preserve"> </w:t>
            </w:r>
            <w:r>
              <w:t xml:space="preserve">(8 AFE drivers),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evaluate the safe operating area (cell voltage, cell temperature, cell/pack current) against MOL/RSL/MSL limits.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SOA_*</w:t>
            </w:r>
            <w:r>
              <w:t xml:space="preserve">), config</w:t>
            </w:r>
            <w:r>
              <w:t xml:space="preserve"> </w:t>
            </w:r>
            <w:r>
              <w:rPr>
                <w:rStyle w:val="VerbatimChar"/>
              </w:rPr>
              <w:t xml:space="preserve">battery_cell_cfg.h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detect and classify 85 diagnosis events with configurable severity, latency and occurrence counters.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run the BMS state machine (13 states, 34 substates) in the 10 ms task context and reach the safe state (contactors open) on fatal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src/app/application/config/bms_cfg.h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control string-minus, string-plus and precharge contactors through smart power switches with feedback supervision.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interlock line and open the contactors on interlock faults.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</w:t>
            </w:r>
            <w:r>
              <w:t xml:space="preserve"> </w:t>
            </w:r>
            <w:r>
              <w:t xml:space="preserve">(ILCK)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balance cells passively (reference strategy: voltage-based).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</w:t>
            </w:r>
            <w:r>
              <w:t xml:space="preserve"> </w:t>
            </w:r>
            <w:r>
              <w:t xml:space="preserve">(strategies: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estimate SOC/SOE/SOF/SOH (reference: coulomb/energy counting, trapezoid SOF).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src/app/application/algorithm/state_estimation/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algorithm.c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exchange data asynchronously between tasks via the database (single producer, multiple consumers).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monitor task execution times and supply voltages (system monitoring, FRAM-persisted).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communicate on CAN (41 messages) and provide an Ethernet TCP/IP interface for user applications.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tools/dbc/foxbms.dbc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system basis chip (SBC) and react to FIN/RSTB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</w:t>
            </w:r>
            <w:r>
              <w:t xml:space="preserve"> </w:t>
            </w:r>
            <w:r>
              <w:t xml:space="preserve">(NXP FS85)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provide timekeeping (RTC), port expansion (PEX), humidity/temperature sensing (HTSEN) and debug LEDs on the continuous I2C task.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htsensor/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support optional insulation monitoring (IMD).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be unit-testable: 313 C unit tests run in CI with 100% line/branch coverage policy.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tests/unit/app/**/test_*.c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</w:p>
        </w:tc>
      </w:tr>
    </w:tbl>
    <w:bookmarkEnd w:id="21"/>
    <w:bookmarkStart w:id="31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2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2"/>
    <w:bookmarkStart w:id="23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3"/>
    <w:bookmarkStart w:id="24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4"/>
    <w:bookmarkEnd w:id="25"/>
    <w:bookmarkStart w:id="27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6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6"/>
    <w:bookmarkEnd w:id="27"/>
    <w:bookmarkStart w:id="30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8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8"/>
    <w:bookmarkStart w:id="29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9"/>
    <w:bookmarkEnd w:id="30"/>
    <w:bookmarkEnd w:id="31"/>
    <w:bookmarkStart w:id="45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5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2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2"/>
    <w:bookmarkStart w:id="33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3"/>
    <w:bookmarkStart w:id="34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4"/>
    <w:bookmarkEnd w:id="35"/>
    <w:bookmarkStart w:id="37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6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6"/>
    <w:bookmarkEnd w:id="37"/>
    <w:bookmarkStart w:id="40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8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the FB2-SAF-FSR-000003 reaction budget: 5 ms coil command plus 30 ms mechanical opening (FB2-PRM-000005) reaches the mechanically open state 35 ms after the fault request, and 5 ms of auxiliary feedback confirmation completes the reaction 40 ms after 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time. The criterion is the weld detection budget of the actuated path and is deliberately not the reaction budget of FB2-SAF-FSR-000003, which is 40 ms end to end; see find…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8"/>
    <w:bookmarkStart w:id="39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9"/>
    <w:bookmarkEnd w:id="40"/>
    <w:bookmarkStart w:id="42" w:name="parent-fsr-fb2-saf-fsr-000004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FB2-SAF-FSR-000004</w:t>
      </w:r>
    </w:p>
    <w:bookmarkStart w:id="41" w:name="Xabc5344f6eada92d16d76050362aecd62a4caff"/>
    <w:p>
      <w:pPr>
        <w:pStyle w:val="Heading4"/>
      </w:pPr>
      <w:r>
        <w:rPr>
          <w:rStyle w:val="VerbatimChar"/>
        </w:rPr>
        <w:t xml:space="preserve">FB2-HW-TSR-000004</w:t>
      </w:r>
      <w:r>
        <w:t xml:space="preserve"> </w:t>
      </w:r>
      <w:r>
        <w:t xml:space="preserve">— TSR: Independent Hardware Voltage Monitor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FB2-SAF-FSR-000004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FB2-LNK-SAF-000058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The hardware shall realise the ASIL B overvoltage reaction as a discrete chain separate from the main measurement chain: every cell monitored by the main chain shall be divided by a dedicated divider network into a comparator that holds its own overvoltage threshold reference on a supply rail not shared with the main chain, and the comparator output shall drive a contactor driver stage whose command is not sourced from the main microcontroller. No divider, reference, comparator, driver or supply…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Rationale</w:t>
      </w:r>
      <w:r>
        <w:t xml:space="preserve">: Hardware realisation of the second barrier required by FB2-SAF-FSR-000004, decomposed at system level by FB2-SYS-SYR-000005 and allocated to element AR-005 of FB2-SAF-TSC-000001. Freedom from interference for the ASIL D cell-voltage goal rests on this chain sharing no measurement, reference, supply or command resource with the main chain: as allocated in FB2-SAF-SGO-000001 the main path is 85 ms o…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ASIL_B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Independent chain coverage: Cells in the pack that the main measurement chain monitors and that the independent divider network also measures, as a fraction of that monitored set ≤ 100 %</w:t>
      </w:r>
    </w:p>
    <w:p>
      <w:pPr>
        <w:pStyle w:val="Compact"/>
        <w:numPr>
          <w:ilvl w:val="1"/>
          <w:numId w:val="1026"/>
        </w:numPr>
      </w:pPr>
      <w:r>
        <w:t xml:space="preserve">Independent chain detection latency: Time from the independent comparator’s threshold being exceeded to the contactor driver command at the coil ≤ 50 ms</w:t>
      </w:r>
    </w:p>
    <w:p>
      <w:pPr>
        <w:pStyle w:val="Compact"/>
        <w:numPr>
          <w:ilvl w:val="1"/>
          <w:numId w:val="1026"/>
        </w:numPr>
      </w:pPr>
      <w:r>
        <w:t xml:space="preserve">Supply-rail separation: Supply rails common to the independent chain and the main measurement chain ≤ 0 rails</w:t>
      </w:r>
    </w:p>
    <w:p>
      <w:pPr>
        <w:pStyle w:val="Compact"/>
        <w:numPr>
          <w:ilvl w:val="1"/>
          <w:numId w:val="1026"/>
        </w:numPr>
      </w:pPr>
      <w:r>
        <w:t xml:space="preserve">Threshold-reference separation: Overvoltage threshold references common to the independent chain and the main chain ≤ 0 references</w:t>
      </w:r>
    </w:p>
    <w:p>
      <w:pPr>
        <w:pStyle w:val="Compact"/>
        <w:numPr>
          <w:ilvl w:val="1"/>
          <w:numId w:val="1026"/>
        </w:numPr>
      </w:pPr>
      <w:r>
        <w:t xml:space="preserve">Command-source separation: Contactor driver stages the independent chain can reach that are commanded from the main microcontroller ≤ 0 stages</w:t>
      </w:r>
    </w:p>
    <w:p>
      <w:pPr>
        <w:pStyle w:val="Compact"/>
        <w:numPr>
          <w:ilvl w:val="1"/>
          <w:numId w:val="1026"/>
        </w:numPr>
      </w:pPr>
      <w:r>
        <w:t xml:space="preserve">Overvoltage threshold accuracy: Difference between the overvoltage threshold realised by the independent comparator chain and the configured cell shutdown threshold ≤ 50 mV</w:t>
      </w:r>
    </w:p>
    <w:p>
      <w:pPr>
        <w:pStyle w:val="Compact"/>
        <w:numPr>
          <w:ilvl w:val="1"/>
          <w:numId w:val="1026"/>
        </w:numPr>
      </w:pPr>
      <w:r>
        <w:t xml:space="preserve">Independent chain diagnosability: Diagnosis entries raised per detected failure of the independent chain itself: supply rail out of range, threshold reference out of range, or self-test failure ≤ 1 entry per detected failure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 references</w:t>
      </w:r>
      <w:r>
        <w:t xml:space="preserve">: —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41"/>
    <w:bookmarkEnd w:id="42"/>
    <w:bookmarkStart w:id="44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3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2026-10-03T11:20:05Z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3"/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2026-10-03T11:20:07Z</dcterms:created>
  <dcterms:modified xsi:type="dcterms:W3CDTF">2026-10-03T11:20:07Z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2026-10-03</vt:lpwstr>
  </property>
</Properties>
</file>