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foxBMS 2 — Software Requirements Specification</w:t>
      </w:r>
    </w:p>
    <w:p>
      <w:pPr>
        <w:pStyle w:val="Author"/>
      </w:pPr>
      <w:r>
        <w:t xml:space="preserve">foxBMS 2 Lifecycle Artifact Corpus</w:t>
      </w:r>
    </w:p>
    <w:p>
      <w:pPr>
        <w:pStyle w:val="Date"/>
      </w:pPr>
      <w:r>
        <w:t xml:space="preserve">2026-09-29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fe7bed4e53f5e4573dd961ca6e61ce47e865d29"/>
    <w:p>
      <w:pPr>
        <w:pStyle w:val="Heading1"/>
      </w:pPr>
      <w:r>
        <w:t xml:space="preserve">foxBMS 2 — Software Requirements Specification</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foxBMS 2 — Battery Management System</w:t>
            </w:r>
          </w:p>
        </w:tc>
      </w:tr>
      <w:tr>
        <w:tc>
          <w:tcPr/>
          <w:p>
            <w:pPr>
              <w:pStyle w:val="Compact"/>
              <w:jc w:val="left"/>
            </w:pPr>
            <w:r>
              <w:t xml:space="preserve">Document</w:t>
            </w:r>
          </w:p>
        </w:tc>
        <w:tc>
          <w:tcPr/>
          <w:p>
            <w:pPr>
              <w:pStyle w:val="Compact"/>
              <w:jc w:val="left"/>
            </w:pPr>
            <w:r>
              <w:t xml:space="preserve">Software Requirements Specification</w:t>
            </w:r>
          </w:p>
        </w:tc>
      </w:tr>
      <w:tr>
        <w:tc>
          <w:tcPr/>
          <w:p>
            <w:pPr>
              <w:pStyle w:val="Compact"/>
              <w:jc w:val="left"/>
            </w:pPr>
            <w:r>
              <w:t xml:space="preserve">Baseline</w:t>
            </w:r>
          </w:p>
        </w:tc>
        <w:tc>
          <w:tcPr/>
          <w:p>
            <w:pPr>
              <w:pStyle w:val="Compact"/>
              <w:jc w:val="left"/>
            </w:pPr>
            <w:r>
              <w:t xml:space="preserve">BAS-REF-001 (commit</w:t>
            </w:r>
            <w:r>
              <w:t xml:space="preserve"> </w:t>
            </w:r>
            <w:r>
              <w:rPr>
                <w:rStyle w:val="VerbatimChar"/>
              </w:rPr>
              <w:t xml:space="preserve">308028fb</w:t>
            </w:r>
            <w:r>
              <w:t xml:space="preserve">, tag</w:t>
            </w:r>
            <w:r>
              <w:t xml:space="preserve"> </w:t>
            </w:r>
            <w:r>
              <w:rPr>
                <w:rStyle w:val="VerbatimChar"/>
              </w:rPr>
              <w:t xml:space="preserve">v1.11.0</w:t>
            </w:r>
            <w:r>
              <w:t xml:space="preserve">)</w:t>
            </w:r>
          </w:p>
        </w:tc>
      </w:tr>
      <w:tr>
        <w:tc>
          <w:tcPr/>
          <w:p>
            <w:pPr>
              <w:pStyle w:val="Compact"/>
              <w:jc w:val="left"/>
            </w:pPr>
            <w:r>
              <w:t xml:space="preserve">Profiles</w:t>
            </w:r>
          </w:p>
        </w:tc>
        <w:tc>
          <w:tcPr/>
          <w:p>
            <w:pPr>
              <w:pStyle w:val="Compact"/>
              <w:jc w:val="left"/>
            </w:pPr>
            <w:r>
              <w:rPr>
                <w:rStyle w:val="VerbatimChar"/>
              </w:rPr>
              <w:t xml:space="preserve">as_is</w:t>
            </w:r>
            <w:r>
              <w:t xml:space="preserve"> </w:t>
            </w:r>
            <w:r>
              <w:t xml:space="preserve">(source-grounded) +</w:t>
            </w:r>
            <w:r>
              <w:t xml:space="preserve"> </w:t>
            </w:r>
            <w:r>
              <w:rPr>
                <w:rStyle w:val="VerbatimChar"/>
              </w:rPr>
              <w:t xml:space="preserve">synthetic_reference</w:t>
            </w:r>
            <w:r>
              <w:t xml:space="preserve"> </w:t>
            </w:r>
            <w:r>
              <w:t xml:space="preserve">(hypothetical)</w:t>
            </w:r>
          </w:p>
        </w:tc>
      </w:tr>
      <w:tr>
        <w:tc>
          <w:tcPr/>
          <w:p>
            <w:pPr>
              <w:pStyle w:val="Compact"/>
              <w:jc w:val="left"/>
            </w:pPr>
            <w:r>
              <w:t xml:space="preserve">Corpus status</w:t>
            </w:r>
          </w:p>
        </w:tc>
        <w:tc>
          <w:tcPr/>
          <w:p>
            <w:pPr>
              <w:pStyle w:val="Compact"/>
              <w:jc w:val="left"/>
            </w:pPr>
            <w:r>
              <w:rPr>
                <w:rStyle w:val="VerbatimChar"/>
              </w:rPr>
              <w:t xml:space="preserve">synthetic_ready_with_limitations</w:t>
            </w:r>
          </w:p>
        </w:tc>
      </w:tr>
      <w:tr>
        <w:tc>
          <w:tcPr/>
          <w:p>
            <w:pPr>
              <w:pStyle w:val="Compact"/>
              <w:jc w:val="left"/>
            </w:pPr>
            <w:r>
              <w:t xml:space="preserve">Generated</w:t>
            </w:r>
          </w:p>
        </w:tc>
        <w:tc>
          <w:tcPr/>
          <w:p>
            <w:pPr>
              <w:pStyle w:val="Compact"/>
              <w:jc w:val="left"/>
            </w:pPr>
            <w:r>
              <w:t xml:space="preserve">2026-09-29T10:08:35Z</w:t>
            </w:r>
          </w:p>
        </w:tc>
      </w:tr>
    </w:tbl>
    <w:bookmarkStart w:id="20" w:name="scope"/>
    <w:p>
      <w:pPr>
        <w:pStyle w:val="Heading2"/>
      </w:pPr>
      <w:r>
        <w:t xml:space="preserve">Scope</w:t>
      </w:r>
    </w:p>
    <w:p>
      <w:pPr>
        <w:pStyle w:val="FirstParagraph"/>
      </w:pPr>
      <w:r>
        <w:t xml:space="preserve">Software requirements of both corpus profiles (SWRs grouped under their parent FSR with allocation rationale) plus software requirements reverse-engineered from the 40 implemented modules and the diagnosis/SOA configuration.</w:t>
      </w:r>
    </w:p>
    <w:bookmarkEnd w:id="20"/>
    <w:bookmarkStart w:id="21" w:name="X6317600dfe579ae0fcb6f3227648ee40ae6e828"/>
    <w:p>
      <w:pPr>
        <w:pStyle w:val="Heading2"/>
      </w:pPr>
      <w:r>
        <w:t xml:space="preserve">Reverse-Engineered Software Requirements (module-grounded)</w:t>
      </w:r>
    </w:p>
    <w:p>
      <w:pPr>
        <w:pStyle w:val="FirstParagraph"/>
      </w:pPr>
      <w:r>
        <w:t xml:space="preserve">The implemented software directly satisfies the following software requirements. Each requirement cites its implementing module(s) with repository anchors; unit-test evidence is listed per module in the Detailed Design and Implementation Mapping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Implementing modules (anchors)</w:t>
            </w:r>
          </w:p>
        </w:tc>
      </w:tr>
      <w:tr>
        <w:tc>
          <w:tcPr/>
          <w:p>
            <w:pPr>
              <w:pStyle w:val="Compact"/>
              <w:jc w:val="left"/>
            </w:pPr>
            <w:r>
              <w:rPr>
                <w:rStyle w:val="VerbatimChar"/>
              </w:rPr>
              <w:t xml:space="preserve">SWR-RE-01</w:t>
            </w:r>
          </w:p>
        </w:tc>
        <w:tc>
          <w:tcPr/>
          <w:p>
            <w:pPr>
              <w:pStyle w:val="Compact"/>
              <w:jc w:val="left"/>
            </w:pPr>
            <w:r>
              <w:t xml:space="preserve">The software shall acquire cell voltages and cell temperatures via the AFE daisy-chain and validate them (plausibility, redundancy).</w:t>
            </w:r>
          </w:p>
        </w:tc>
        <w:tc>
          <w:tcPr/>
          <w:p>
            <w:pPr>
              <w:pStyle w:val="Compact"/>
              <w:jc w:val="left"/>
            </w:pPr>
            <w:r>
              <w:rPr>
                <w:rStyle w:val="VerbatimChar"/>
              </w:rPr>
              <w:t xml:space="preserve">src/app/driver/afe/*</w:t>
            </w:r>
            <w:r>
              <w:t xml:space="preserve"> </w:t>
            </w:r>
            <w:r>
              <w:t xml:space="preserve">(8 AFE drivers),</w:t>
            </w:r>
            <w:r>
              <w:t xml:space="preserve"> </w:t>
            </w:r>
            <w:r>
              <w:rPr>
                <w:rStyle w:val="VerbatimChar"/>
              </w:rPr>
              <w:t xml:space="preserve">src/app/driver/meas/</w:t>
            </w:r>
            <w:r>
              <w:t xml:space="preserve">,</w:t>
            </w:r>
            <w:r>
              <w:t xml:space="preserve"> </w:t>
            </w:r>
            <w:r>
              <w:rPr>
                <w:rStyle w:val="VerbatimChar"/>
              </w:rPr>
              <w:t xml:space="preserve">src/app/application/plausibility/</w:t>
            </w:r>
            <w:r>
              <w:t xml:space="preserve">,</w:t>
            </w:r>
            <w:r>
              <w:t xml:space="preserve"> </w:t>
            </w:r>
            <w:r>
              <w:rPr>
                <w:rStyle w:val="VerbatimChar"/>
              </w:rPr>
              <w:t xml:space="preserve">src/app/application/redundancy/</w:t>
            </w:r>
          </w:p>
        </w:tc>
      </w:tr>
      <w:tr>
        <w:tc>
          <w:tcPr/>
          <w:p>
            <w:pPr>
              <w:pStyle w:val="Compact"/>
              <w:jc w:val="left"/>
            </w:pPr>
            <w:r>
              <w:rPr>
                <w:rStyle w:val="VerbatimChar"/>
              </w:rPr>
              <w:t xml:space="preserve">SWR-RE-02</w:t>
            </w:r>
          </w:p>
        </w:tc>
        <w:tc>
          <w:tcPr/>
          <w:p>
            <w:pPr>
              <w:pStyle w:val="Compact"/>
              <w:jc w:val="left"/>
            </w:pPr>
            <w:r>
              <w:t xml:space="preserve">The software shall evaluate the safe operating area (cell voltage, cell temperature, cell/pack current) against MOL/RSL/MSL limits.</w:t>
            </w:r>
          </w:p>
        </w:tc>
        <w:tc>
          <w:tcPr/>
          <w:p>
            <w:pPr>
              <w:pStyle w:val="Compact"/>
              <w:jc w:val="left"/>
            </w:pPr>
            <w:r>
              <w:rPr>
                <w:rStyle w:val="VerbatimChar"/>
              </w:rPr>
              <w:t xml:space="preserve">src/app/application/soa/soa.c</w:t>
            </w:r>
            <w:r>
              <w:t xml:space="preserve"> </w:t>
            </w:r>
            <w:r>
              <w:t xml:space="preserve">(</w:t>
            </w:r>
            <w:r>
              <w:rPr>
                <w:rStyle w:val="VerbatimChar"/>
              </w:rPr>
              <w:t xml:space="preserve">SOA_*</w:t>
            </w:r>
            <w:r>
              <w:t xml:space="preserve">), config</w:t>
            </w:r>
            <w:r>
              <w:t xml:space="preserve"> </w:t>
            </w:r>
            <w:r>
              <w:rPr>
                <w:rStyle w:val="VerbatimChar"/>
              </w:rPr>
              <w:t xml:space="preserve">battery_cell_cfg.h</w:t>
            </w:r>
          </w:p>
        </w:tc>
      </w:tr>
      <w:tr>
        <w:tc>
          <w:tcPr/>
          <w:p>
            <w:pPr>
              <w:pStyle w:val="Compact"/>
              <w:jc w:val="left"/>
            </w:pPr>
            <w:r>
              <w:rPr>
                <w:rStyle w:val="VerbatimChar"/>
              </w:rPr>
              <w:t xml:space="preserve">SWR-RE-03</w:t>
            </w:r>
          </w:p>
        </w:tc>
        <w:tc>
          <w:tcPr/>
          <w:p>
            <w:pPr>
              <w:pStyle w:val="Compact"/>
              <w:jc w:val="left"/>
            </w:pPr>
            <w:r>
              <w:t xml:space="preserve">The software shall detect and classify 85 diagnosis events with configurable severity, latency and occurrence counters.</w:t>
            </w:r>
          </w:p>
        </w:tc>
        <w:tc>
          <w:tcPr/>
          <w:p>
            <w:pPr>
              <w:pStyle w:val="Compact"/>
              <w:jc w:val="left"/>
            </w:pPr>
            <w:r>
              <w:rPr>
                <w:rStyle w:val="VerbatimChar"/>
              </w:rPr>
              <w:t xml:space="preserve">src/app/engine/diag/</w:t>
            </w:r>
            <w:r>
              <w:t xml:space="preserve">,</w:t>
            </w:r>
            <w:r>
              <w:t xml:space="preserve"> </w:t>
            </w:r>
            <w:r>
              <w:rPr>
                <w:rStyle w:val="VerbatimChar"/>
              </w:rPr>
              <w:t xml:space="preserve">src/app/engine/config/diag_cfg.c</w:t>
            </w:r>
          </w:p>
        </w:tc>
      </w:tr>
      <w:tr>
        <w:tc>
          <w:tcPr/>
          <w:p>
            <w:pPr>
              <w:pStyle w:val="Compact"/>
              <w:jc w:val="left"/>
            </w:pPr>
            <w:r>
              <w:rPr>
                <w:rStyle w:val="VerbatimChar"/>
              </w:rPr>
              <w:t xml:space="preserve">SWR-RE-04</w:t>
            </w:r>
          </w:p>
        </w:tc>
        <w:tc>
          <w:tcPr/>
          <w:p>
            <w:pPr>
              <w:pStyle w:val="Compact"/>
              <w:jc w:val="left"/>
            </w:pPr>
            <w:r>
              <w:t xml:space="preserve">The software shall run the BMS state machine (13 states, 34 substates) in the 10 ms task context and reach the safe state (contactors open) on fatal errors.</w:t>
            </w:r>
          </w:p>
        </w:tc>
        <w:tc>
          <w:tcPr/>
          <w:p>
            <w:pPr>
              <w:pStyle w:val="Compact"/>
              <w:jc w:val="left"/>
            </w:pPr>
            <w:r>
              <w:rPr>
                <w:rStyle w:val="VerbatimChar"/>
              </w:rPr>
              <w:t xml:space="preserve">src/app/application/bms/</w:t>
            </w:r>
            <w:r>
              <w:t xml:space="preserve">,</w:t>
            </w:r>
            <w:r>
              <w:t xml:space="preserve"> </w:t>
            </w:r>
            <w:r>
              <w:rPr>
                <w:rStyle w:val="VerbatimChar"/>
              </w:rPr>
              <w:t xml:space="preserve">src/app/application/config/bms_cfg.h</w:t>
            </w:r>
          </w:p>
        </w:tc>
      </w:tr>
      <w:tr>
        <w:tc>
          <w:tcPr/>
          <w:p>
            <w:pPr>
              <w:pStyle w:val="Compact"/>
              <w:jc w:val="left"/>
            </w:pPr>
            <w:r>
              <w:rPr>
                <w:rStyle w:val="VerbatimChar"/>
              </w:rPr>
              <w:t xml:space="preserve">SWR-RE-05</w:t>
            </w:r>
          </w:p>
        </w:tc>
        <w:tc>
          <w:tcPr/>
          <w:p>
            <w:pPr>
              <w:pStyle w:val="Compact"/>
              <w:jc w:val="left"/>
            </w:pPr>
            <w:r>
              <w:t xml:space="preserve">The software shall control string-minus, string-plus and precharge contactors through smart power switches with feedback supervision.</w:t>
            </w:r>
          </w:p>
        </w:tc>
        <w:tc>
          <w:tcPr/>
          <w:p>
            <w:pPr>
              <w:pStyle w:val="Compact"/>
              <w:jc w:val="left"/>
            </w:pPr>
            <w:r>
              <w:rPr>
                <w:rStyle w:val="VerbatimChar"/>
              </w:rPr>
              <w:t xml:space="preserve">src/app/driver/contactor/</w:t>
            </w:r>
            <w:r>
              <w:t xml:space="preserve">,</w:t>
            </w:r>
            <w:r>
              <w:t xml:space="preserve"> </w:t>
            </w:r>
            <w:r>
              <w:rPr>
                <w:rStyle w:val="VerbatimChar"/>
              </w:rPr>
              <w:t xml:space="preserve">src/app/driver/sps/</w:t>
            </w:r>
          </w:p>
        </w:tc>
      </w:tr>
      <w:tr>
        <w:tc>
          <w:tcPr/>
          <w:p>
            <w:pPr>
              <w:pStyle w:val="Compact"/>
              <w:jc w:val="left"/>
            </w:pPr>
            <w:r>
              <w:rPr>
                <w:rStyle w:val="VerbatimChar"/>
              </w:rPr>
              <w:t xml:space="preserve">SWR-RE-06</w:t>
            </w:r>
          </w:p>
        </w:tc>
        <w:tc>
          <w:tcPr/>
          <w:p>
            <w:pPr>
              <w:pStyle w:val="Compact"/>
              <w:jc w:val="left"/>
            </w:pPr>
            <w:r>
              <w:t xml:space="preserve">The software shall supervise the interlock line and open the contactors on interlock faults.</w:t>
            </w:r>
          </w:p>
        </w:tc>
        <w:tc>
          <w:tcPr/>
          <w:p>
            <w:pPr>
              <w:pStyle w:val="Compact"/>
              <w:jc w:val="left"/>
            </w:pPr>
            <w:r>
              <w:rPr>
                <w:rStyle w:val="VerbatimChar"/>
              </w:rPr>
              <w:t xml:space="preserve">src/app/driver/interlock/</w:t>
            </w:r>
            <w:r>
              <w:t xml:space="preserve"> </w:t>
            </w:r>
            <w:r>
              <w:t xml:space="preserve">(ILCK)</w:t>
            </w:r>
          </w:p>
        </w:tc>
      </w:tr>
      <w:tr>
        <w:tc>
          <w:tcPr/>
          <w:p>
            <w:pPr>
              <w:pStyle w:val="Compact"/>
              <w:jc w:val="left"/>
            </w:pPr>
            <w:r>
              <w:rPr>
                <w:rStyle w:val="VerbatimChar"/>
              </w:rPr>
              <w:t xml:space="preserve">SWR-RE-07</w:t>
            </w:r>
          </w:p>
        </w:tc>
        <w:tc>
          <w:tcPr/>
          <w:p>
            <w:pPr>
              <w:pStyle w:val="Compact"/>
              <w:jc w:val="left"/>
            </w:pPr>
            <w:r>
              <w:t xml:space="preserve">The software shall balance cells passively (reference strategy: voltage-based).</w:t>
            </w:r>
          </w:p>
        </w:tc>
        <w:tc>
          <w:tcPr/>
          <w:p>
            <w:pPr>
              <w:pStyle w:val="Compact"/>
              <w:jc w:val="left"/>
            </w:pPr>
            <w:r>
              <w:rPr>
                <w:rStyle w:val="VerbatimChar"/>
              </w:rPr>
              <w:t xml:space="preserve">src/app/application/bal/</w:t>
            </w:r>
            <w:r>
              <w:t xml:space="preserve"> </w:t>
            </w:r>
            <w:r>
              <w:t xml:space="preserve">(strategies:</w:t>
            </w:r>
            <w:r>
              <w:t xml:space="preserve"> </w:t>
            </w:r>
            <w:r>
              <w:rPr>
                <w:rStyle w:val="VerbatimChar"/>
              </w:rPr>
              <w:t xml:space="preserve">none</w:t>
            </w:r>
            <w:r>
              <w:t xml:space="preserve">,</w:t>
            </w:r>
            <w:r>
              <w:t xml:space="preserve"> </w:t>
            </w:r>
            <w:r>
              <w:rPr>
                <w:rStyle w:val="VerbatimChar"/>
              </w:rPr>
              <w:t xml:space="preserve">voltage</w:t>
            </w:r>
            <w:r>
              <w:t xml:space="preserve">)</w:t>
            </w:r>
          </w:p>
        </w:tc>
      </w:tr>
      <w:tr>
        <w:tc>
          <w:tcPr/>
          <w:p>
            <w:pPr>
              <w:pStyle w:val="Compact"/>
              <w:jc w:val="left"/>
            </w:pPr>
            <w:r>
              <w:rPr>
                <w:rStyle w:val="VerbatimChar"/>
              </w:rPr>
              <w:t xml:space="preserve">SWR-RE-08</w:t>
            </w:r>
          </w:p>
        </w:tc>
        <w:tc>
          <w:tcPr/>
          <w:p>
            <w:pPr>
              <w:pStyle w:val="Compact"/>
              <w:jc w:val="left"/>
            </w:pPr>
            <w:r>
              <w:t xml:space="preserve">The software shall estimate SOC/SOE/SOF/SOH (reference: coulomb/energy counting, trapezoid SOF).</w:t>
            </w:r>
          </w:p>
        </w:tc>
        <w:tc>
          <w:tcPr/>
          <w:p>
            <w:pPr>
              <w:pStyle w:val="Compact"/>
              <w:jc w:val="left"/>
            </w:pPr>
            <w:r>
              <w:rPr>
                <w:rStyle w:val="VerbatimChar"/>
              </w:rPr>
              <w:t xml:space="preserve">src/app/application/algorithm/state_estimation/</w:t>
            </w:r>
            <w:r>
              <w:t xml:space="preserve">,</w:t>
            </w:r>
            <w:r>
              <w:t xml:space="preserve"> </w:t>
            </w:r>
            <w:r>
              <w:rPr>
                <w:rStyle w:val="VerbatimChar"/>
              </w:rPr>
              <w:t xml:space="preserve">algorithm.c</w:t>
            </w:r>
          </w:p>
        </w:tc>
      </w:tr>
      <w:tr>
        <w:tc>
          <w:tcPr/>
          <w:p>
            <w:pPr>
              <w:pStyle w:val="Compact"/>
              <w:jc w:val="left"/>
            </w:pPr>
            <w:r>
              <w:rPr>
                <w:rStyle w:val="VerbatimChar"/>
              </w:rPr>
              <w:t xml:space="preserve">SWR-RE-09</w:t>
            </w:r>
          </w:p>
        </w:tc>
        <w:tc>
          <w:tcPr/>
          <w:p>
            <w:pPr>
              <w:pStyle w:val="Compact"/>
              <w:jc w:val="left"/>
            </w:pPr>
            <w:r>
              <w:t xml:space="preserve">The software shall exchange data asynchronously between tasks via the database (single producer, multiple consumers).</w:t>
            </w:r>
          </w:p>
        </w:tc>
        <w:tc>
          <w:tcPr/>
          <w:p>
            <w:pPr>
              <w:pStyle w:val="Compact"/>
              <w:jc w:val="left"/>
            </w:pPr>
            <w:r>
              <w:rPr>
                <w:rStyle w:val="VerbatimChar"/>
              </w:rPr>
              <w:t xml:space="preserve">src/app/engine/database/</w:t>
            </w:r>
          </w:p>
        </w:tc>
      </w:tr>
      <w:tr>
        <w:tc>
          <w:tcPr/>
          <w:p>
            <w:pPr>
              <w:pStyle w:val="Compact"/>
              <w:jc w:val="left"/>
            </w:pPr>
            <w:r>
              <w:rPr>
                <w:rStyle w:val="VerbatimChar"/>
              </w:rPr>
              <w:t xml:space="preserve">SWR-RE-10</w:t>
            </w:r>
          </w:p>
        </w:tc>
        <w:tc>
          <w:tcPr/>
          <w:p>
            <w:pPr>
              <w:pStyle w:val="Compact"/>
              <w:jc w:val="left"/>
            </w:pPr>
            <w:r>
              <w:t xml:space="preserve">The software shall monitor task execution times and supply voltages (system monitoring, FRAM-persisted).</w:t>
            </w:r>
          </w:p>
        </w:tc>
        <w:tc>
          <w:tcPr/>
          <w:p>
            <w:pPr>
              <w:pStyle w:val="Compact"/>
              <w:jc w:val="left"/>
            </w:pPr>
            <w:r>
              <w:rPr>
                <w:rStyle w:val="VerbatimChar"/>
              </w:rPr>
              <w:t xml:space="preserve">src/app/engine/sys_mon/</w:t>
            </w:r>
            <w:r>
              <w:t xml:space="preserve">,</w:t>
            </w:r>
            <w:r>
              <w:t xml:space="preserve"> </w:t>
            </w:r>
            <w:r>
              <w:rPr>
                <w:rStyle w:val="VerbatimChar"/>
              </w:rPr>
              <w:t xml:space="preserve">src/app/engine/hw_info/</w:t>
            </w:r>
            <w:r>
              <w:t xml:space="preserve">,</w:t>
            </w:r>
            <w:r>
              <w:t xml:space="preserve"> </w:t>
            </w:r>
            <w:r>
              <w:rPr>
                <w:rStyle w:val="VerbatimChar"/>
              </w:rPr>
              <w:t xml:space="preserve">src/app/driver/fram/</w:t>
            </w:r>
          </w:p>
        </w:tc>
      </w:tr>
      <w:tr>
        <w:tc>
          <w:tcPr/>
          <w:p>
            <w:pPr>
              <w:pStyle w:val="Compact"/>
              <w:jc w:val="left"/>
            </w:pPr>
            <w:r>
              <w:rPr>
                <w:rStyle w:val="VerbatimChar"/>
              </w:rPr>
              <w:t xml:space="preserve">SWR-RE-11</w:t>
            </w:r>
          </w:p>
        </w:tc>
        <w:tc>
          <w:tcPr/>
          <w:p>
            <w:pPr>
              <w:pStyle w:val="Compact"/>
              <w:jc w:val="left"/>
            </w:pPr>
            <w:r>
              <w:t xml:space="preserve">The software shall communicate on CAN (41 messages) and provide an Ethernet TCP/IP interface for user applications.</w:t>
            </w:r>
          </w:p>
        </w:tc>
        <w:tc>
          <w:tcPr/>
          <w:p>
            <w:pPr>
              <w:pStyle w:val="Compact"/>
              <w:jc w:val="left"/>
            </w:pPr>
            <w:r>
              <w:rPr>
                <w:rStyle w:val="VerbatimChar"/>
              </w:rPr>
              <w:t xml:space="preserve">src/app/driver/can/</w:t>
            </w:r>
            <w:r>
              <w:t xml:space="preserve">,</w:t>
            </w:r>
            <w:r>
              <w:t xml:space="preserve"> </w:t>
            </w:r>
            <w:r>
              <w:rPr>
                <w:rStyle w:val="VerbatimChar"/>
              </w:rPr>
              <w:t xml:space="preserve">src/app/application/ethernet/</w:t>
            </w:r>
            <w:r>
              <w:t xml:space="preserve">,</w:t>
            </w:r>
            <w:r>
              <w:t xml:space="preserve"> </w:t>
            </w:r>
            <w:r>
              <w:rPr>
                <w:rStyle w:val="VerbatimChar"/>
              </w:rPr>
              <w:t xml:space="preserve">tools/dbc/foxbms.dbc</w:t>
            </w:r>
          </w:p>
        </w:tc>
      </w:tr>
      <w:tr>
        <w:tc>
          <w:tcPr/>
          <w:p>
            <w:pPr>
              <w:pStyle w:val="Compact"/>
              <w:jc w:val="left"/>
            </w:pPr>
            <w:r>
              <w:rPr>
                <w:rStyle w:val="VerbatimChar"/>
              </w:rPr>
              <w:t xml:space="preserve">SWR-RE-12</w:t>
            </w:r>
          </w:p>
        </w:tc>
        <w:tc>
          <w:tcPr/>
          <w:p>
            <w:pPr>
              <w:pStyle w:val="Compact"/>
              <w:jc w:val="left"/>
            </w:pPr>
            <w:r>
              <w:t xml:space="preserve">The software shall supervise the system basis chip (SBC) and react to FIN/RSTB errors.</w:t>
            </w:r>
          </w:p>
        </w:tc>
        <w:tc>
          <w:tcPr/>
          <w:p>
            <w:pPr>
              <w:pStyle w:val="Compact"/>
              <w:jc w:val="left"/>
            </w:pPr>
            <w:r>
              <w:rPr>
                <w:rStyle w:val="VerbatimChar"/>
              </w:rPr>
              <w:t xml:space="preserve">src/app/driver/sbc/</w:t>
            </w:r>
            <w:r>
              <w:t xml:space="preserve"> </w:t>
            </w:r>
            <w:r>
              <w:t xml:space="preserve">(NXP FS85)</w:t>
            </w:r>
          </w:p>
        </w:tc>
      </w:tr>
      <w:tr>
        <w:tc>
          <w:tcPr/>
          <w:p>
            <w:pPr>
              <w:pStyle w:val="Compact"/>
              <w:jc w:val="left"/>
            </w:pPr>
            <w:r>
              <w:rPr>
                <w:rStyle w:val="VerbatimChar"/>
              </w:rPr>
              <w:t xml:space="preserve">SWR-RE-13</w:t>
            </w:r>
          </w:p>
        </w:tc>
        <w:tc>
          <w:tcPr/>
          <w:p>
            <w:pPr>
              <w:pStyle w:val="Compact"/>
              <w:jc w:val="left"/>
            </w:pPr>
            <w:r>
              <w:t xml:space="preserve">The software shall provide timekeeping (RTC), port expansion (PEX), humidity/temperature sensing (HTSEN) and debug LEDs on the continuous I2C task.</w:t>
            </w:r>
          </w:p>
        </w:tc>
        <w:tc>
          <w:tcPr/>
          <w:p>
            <w:pPr>
              <w:pStyle w:val="Compact"/>
              <w:jc w:val="left"/>
            </w:pPr>
            <w:r>
              <w:rPr>
                <w:rStyle w:val="VerbatimChar"/>
              </w:rPr>
              <w:t xml:space="preserve">src/app/driver/rtc/</w:t>
            </w:r>
            <w:r>
              <w:t xml:space="preserve">,</w:t>
            </w:r>
            <w:r>
              <w:t xml:space="preserve"> </w:t>
            </w:r>
            <w:r>
              <w:rPr>
                <w:rStyle w:val="VerbatimChar"/>
              </w:rPr>
              <w:t xml:space="preserve">pex/</w:t>
            </w:r>
            <w:r>
              <w:t xml:space="preserve">,</w:t>
            </w:r>
            <w:r>
              <w:t xml:space="preserve"> </w:t>
            </w:r>
            <w:r>
              <w:rPr>
                <w:rStyle w:val="VerbatimChar"/>
              </w:rPr>
              <w:t xml:space="preserve">htsensor/</w:t>
            </w:r>
            <w:r>
              <w:t xml:space="preserve">,</w:t>
            </w:r>
            <w:r>
              <w:t xml:space="preserve"> </w:t>
            </w:r>
            <w:r>
              <w:rPr>
                <w:rStyle w:val="VerbatimChar"/>
              </w:rPr>
              <w:t xml:space="preserve">led/</w:t>
            </w:r>
          </w:p>
        </w:tc>
      </w:tr>
      <w:tr>
        <w:tc>
          <w:tcPr/>
          <w:p>
            <w:pPr>
              <w:pStyle w:val="Compact"/>
              <w:jc w:val="left"/>
            </w:pPr>
            <w:r>
              <w:rPr>
                <w:rStyle w:val="VerbatimChar"/>
              </w:rPr>
              <w:t xml:space="preserve">SWR-RE-14</w:t>
            </w:r>
          </w:p>
        </w:tc>
        <w:tc>
          <w:tcPr/>
          <w:p>
            <w:pPr>
              <w:pStyle w:val="Compact"/>
              <w:jc w:val="left"/>
            </w:pPr>
            <w:r>
              <w:t xml:space="preserve">The software shall support optional insulation monitoring (IMD).</w:t>
            </w:r>
          </w:p>
        </w:tc>
        <w:tc>
          <w:tcPr/>
          <w:p>
            <w:pPr>
              <w:pStyle w:val="Compact"/>
              <w:jc w:val="left"/>
            </w:pPr>
            <w:r>
              <w:rPr>
                <w:rStyle w:val="VerbatimChar"/>
              </w:rPr>
              <w:t xml:space="preserve">src/app/driver/imd/</w:t>
            </w:r>
          </w:p>
        </w:tc>
      </w:tr>
      <w:tr>
        <w:tc>
          <w:tcPr/>
          <w:p>
            <w:pPr>
              <w:pStyle w:val="Compact"/>
              <w:jc w:val="left"/>
            </w:pPr>
            <w:r>
              <w:rPr>
                <w:rStyle w:val="VerbatimChar"/>
              </w:rPr>
              <w:t xml:space="preserve">SWR-RE-15</w:t>
            </w:r>
          </w:p>
        </w:tc>
        <w:tc>
          <w:tcPr/>
          <w:p>
            <w:pPr>
              <w:pStyle w:val="Compact"/>
              <w:jc w:val="left"/>
            </w:pPr>
            <w:r>
              <w:t xml:space="preserve">The software shall be unit-testable: 313 C unit tests run in CI with 100% line/branch coverage policy.</w:t>
            </w:r>
          </w:p>
        </w:tc>
        <w:tc>
          <w:tcPr/>
          <w:p>
            <w:pPr>
              <w:pStyle w:val="Compact"/>
              <w:jc w:val="left"/>
            </w:pPr>
            <w:r>
              <w:rPr>
                <w:rStyle w:val="VerbatimChar"/>
              </w:rPr>
              <w:t xml:space="preserve">tests/unit/app/**/test_*.c</w:t>
            </w:r>
            <w:r>
              <w:t xml:space="preserve">,</w:t>
            </w:r>
            <w:r>
              <w:t xml:space="preserve"> </w:t>
            </w:r>
            <w:r>
              <w:rPr>
                <w:rStyle w:val="VerbatimChar"/>
              </w:rPr>
              <w:t xml:space="preserve">docs/developer-manual/software/software-testing.rst</w:t>
            </w:r>
          </w:p>
        </w:tc>
      </w:tr>
    </w:tbl>
    <w:bookmarkEnd w:id="21"/>
    <w:bookmarkStart w:id="31" w:name="profile-as_is"/>
    <w:p>
      <w:pPr>
        <w:pStyle w:val="Heading2"/>
      </w:pPr>
      <w:r>
        <w:t xml:space="preserve">Profile:</w:t>
      </w:r>
      <w:r>
        <w:t xml:space="preserve"> </w:t>
      </w:r>
      <w:r>
        <w:rPr>
          <w:rStyle w:val="VerbatimChar"/>
        </w:rPr>
        <w:t xml:space="preserve">as_is</w:t>
      </w:r>
    </w:p>
    <w:bookmarkStart w:id="25" w:name="parent-fsr-fb2-saf-fsr-000001"/>
    <w:p>
      <w:pPr>
        <w:pStyle w:val="Heading3"/>
      </w:pPr>
      <w:r>
        <w:t xml:space="preserve">Parent FSR:</w:t>
      </w:r>
      <w:r>
        <w:t xml:space="preserve"> </w:t>
      </w:r>
      <w:r>
        <w:rPr>
          <w:rStyle w:val="VerbatimChar"/>
        </w:rPr>
        <w:t xml:space="preserve">FB2-SAF-FSR-000001</w:t>
      </w:r>
    </w:p>
    <w:bookmarkStart w:id="22" w:name="X36acb27f133485f772f0bf1f0ea7c82440a7ced"/>
    <w:p>
      <w:pPr>
        <w:pStyle w:val="Heading4"/>
      </w:pPr>
      <w:r>
        <w:rPr>
          <w:rStyle w:val="VerbatimChar"/>
        </w:rPr>
        <w:t xml:space="preserve">FB2-HW-TSR-000001</w:t>
      </w:r>
      <w:r>
        <w:t xml:space="preserve"> </w:t>
      </w:r>
      <w:r>
        <w:t xml:space="preserve">— TSR: AFE Cell Voltage Measurement Accuracy</w:t>
      </w:r>
    </w:p>
    <w:p>
      <w:pPr>
        <w:pStyle w:val="Compact"/>
        <w:numPr>
          <w:ilvl w:val="0"/>
          <w:numId w:val="1001"/>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FB2-LNK-SAF-000005</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01"/>
        </w:numPr>
      </w:pPr>
      <w:r>
        <w:rPr>
          <w:b/>
          <w:bCs/>
        </w:rPr>
        <w:t xml:space="preserve">Statement</w:t>
      </w:r>
      <w:r>
        <w:t xml:space="preserve">: The AFE shall measure cell voltages with ±1.5 mV accuracy (including calibration) over -40°C to +85°C for 2.5V-4.2V range.</w:t>
      </w:r>
    </w:p>
    <w:p>
      <w:pPr>
        <w:pStyle w:val="Compact"/>
        <w:numPr>
          <w:ilvl w:val="0"/>
          <w:numId w:val="1001"/>
        </w:numPr>
      </w:pPr>
      <w:r>
        <w:rPr>
          <w:b/>
          <w:bCs/>
        </w:rPr>
        <w:t xml:space="preserve">Rationale</w:t>
      </w:r>
      <w:r>
        <w:t xml:space="preserve">: Required to support SOA limit detection with 1 mV threshold accuracy (FSR-002)</w:t>
      </w:r>
    </w:p>
    <w:p>
      <w:pPr>
        <w:pStyle w:val="Compact"/>
        <w:numPr>
          <w:ilvl w:val="0"/>
          <w:numId w:val="1001"/>
        </w:numPr>
      </w:pPr>
      <w:r>
        <w:rPr>
          <w:b/>
          <w:bCs/>
        </w:rPr>
        <w:t xml:space="preserve">Classification</w:t>
      </w:r>
      <w:r>
        <w:t xml:space="preserve">:</w:t>
      </w:r>
      <w:r>
        <w:t xml:space="preserve"> </w:t>
      </w:r>
      <w:r>
        <w:rPr>
          <w:rStyle w:val="VerbatimChar"/>
        </w:rPr>
        <w:t xml:space="preserve">safety</w:t>
      </w:r>
    </w:p>
    <w:p>
      <w:pPr>
        <w:pStyle w:val="Compact"/>
        <w:numPr>
          <w:ilvl w:val="0"/>
          <w:numId w:val="1001"/>
        </w:numPr>
      </w:pPr>
      <w:r>
        <w:rPr>
          <w:b/>
          <w:bCs/>
        </w:rPr>
        <w:t xml:space="preserve">ASIL</w:t>
      </w:r>
      <w:r>
        <w:t xml:space="preserve">:</w:t>
      </w:r>
      <w:r>
        <w:t xml:space="preserve"> </w:t>
      </w:r>
      <w:r>
        <w:rPr>
          <w:rStyle w:val="VerbatimChar"/>
        </w:rPr>
        <w:t xml:space="preserve">ASIL_D</w:t>
      </w:r>
    </w:p>
    <w:p>
      <w:pPr>
        <w:pStyle w:val="Compact"/>
        <w:numPr>
          <w:ilvl w:val="0"/>
          <w:numId w:val="1001"/>
        </w:numPr>
      </w:pPr>
      <w:r>
        <w:rPr>
          <w:b/>
          <w:bCs/>
        </w:rPr>
        <w:t xml:space="preserve">Acceptance criteria</w:t>
      </w:r>
      <w:r>
        <w:t xml:space="preserve">:</w:t>
      </w:r>
    </w:p>
    <w:p>
      <w:pPr>
        <w:pStyle w:val="Compact"/>
        <w:numPr>
          <w:ilvl w:val="1"/>
          <w:numId w:val="1002"/>
        </w:numPr>
      </w:pPr>
      <w:r>
        <w:t xml:space="preserve">Measurement accuracy: Total error (offset + gain + temp drift) ≤ 1.5 mV</w:t>
      </w:r>
    </w:p>
    <w:p>
      <w:pPr>
        <w:pStyle w:val="Compact"/>
        <w:numPr>
          <w:ilvl w:val="1"/>
          <w:numId w:val="1002"/>
        </w:numPr>
      </w:pPr>
      <w:r>
        <w:t xml:space="preserve">Resolution: LSB size ≤ 0.5 mV</w:t>
      </w:r>
    </w:p>
    <w:p>
      <w:pPr>
        <w:pStyle w:val="Compact"/>
        <w:numPr>
          <w:ilvl w:val="1"/>
          <w:numId w:val="1002"/>
        </w:numPr>
      </w:pPr>
      <w:r>
        <w:t xml:space="preserve">PEC error detection: Single-bit error detection ≤ 100% %</w:t>
      </w:r>
    </w:p>
    <w:p>
      <w:pPr>
        <w:pStyle w:val="Compact"/>
        <w:numPr>
          <w:ilvl w:val="0"/>
          <w:numId w:val="1001"/>
        </w:numPr>
      </w:pPr>
      <w:r>
        <w:rPr>
          <w:b/>
          <w:bCs/>
        </w:rPr>
        <w:t xml:space="preserve">Source references</w:t>
      </w:r>
      <w:r>
        <w:t xml:space="preserve">:</w:t>
      </w:r>
      <w:r>
        <w:t xml:space="preserve"> </w:t>
      </w:r>
      <w:r>
        <w:rPr>
          <w:rStyle w:val="VerbatimChar"/>
        </w:rPr>
        <w:t xml:space="preserve">FB2-SRC-HW-000002</w:t>
      </w:r>
      <w:r>
        <w:t xml:space="preserve">,</w:t>
      </w:r>
      <w:r>
        <w:t xml:space="preserve"> </w:t>
      </w:r>
      <w:r>
        <w:rPr>
          <w:rStyle w:val="VerbatimChar"/>
        </w:rPr>
        <w:t xml:space="preserve">FB2-SRC-COD-000001</w:t>
      </w:r>
    </w:p>
    <w:p>
      <w:pPr>
        <w:pStyle w:val="Compact"/>
        <w:numPr>
          <w:ilvl w:val="0"/>
          <w:numId w:val="1001"/>
        </w:numPr>
      </w:pPr>
      <w:r>
        <w:rPr>
          <w:b/>
          <w:bCs/>
        </w:rPr>
        <w:t xml:space="preserve">Assumption references</w:t>
      </w:r>
      <w:r>
        <w:t xml:space="preserve">:</w:t>
      </w:r>
      <w:r>
        <w:t xml:space="preserve"> </w:t>
      </w:r>
      <w:r>
        <w:rPr>
          <w:rStyle w:val="VerbatimChar"/>
        </w:rPr>
        <w:t xml:space="preserve">FB2-ASM-007</w:t>
      </w:r>
    </w:p>
    <w:bookmarkEnd w:id="22"/>
    <w:bookmarkStart w:id="23" w:name="X8ec073acabe5dea54c346595f3a1a17c4084685"/>
    <w:p>
      <w:pPr>
        <w:pStyle w:val="Heading4"/>
      </w:pPr>
      <w:r>
        <w:rPr>
          <w:rStyle w:val="VerbatimChar"/>
        </w:rPr>
        <w:t xml:space="preserve">FB2-HW-TSR-000002</w:t>
      </w:r>
      <w:r>
        <w:t xml:space="preserve"> </w:t>
      </w:r>
      <w:r>
        <w:t xml:space="preserve">— TSR: AFE isoSPI Communication Integrity</w:t>
      </w:r>
    </w:p>
    <w:p>
      <w:pPr>
        <w:pStyle w:val="Compact"/>
        <w:numPr>
          <w:ilvl w:val="0"/>
          <w:numId w:val="1003"/>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FB2-LNK-SAF-000006</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03"/>
        </w:numPr>
      </w:pPr>
      <w:r>
        <w:rPr>
          <w:b/>
          <w:bCs/>
        </w:rPr>
        <w:t xml:space="preserve">Statement</w:t>
      </w:r>
      <w:r>
        <w:t xml:space="preserve">: The isoSPI interface shall provide communication with BER &lt; 10^-9 and detect communication failures within 5 ms.</w:t>
      </w:r>
    </w:p>
    <w:p>
      <w:pPr>
        <w:pStyle w:val="Compact"/>
        <w:numPr>
          <w:ilvl w:val="0"/>
          <w:numId w:val="1003"/>
        </w:numPr>
      </w:pPr>
      <w:r>
        <w:rPr>
          <w:b/>
          <w:bCs/>
        </w:rPr>
        <w:t xml:space="preserve">Rationale</w:t>
      </w:r>
      <w:r>
        <w:t xml:space="preserve">: Communication failures must be detected within FTTI budget for AFE data</w:t>
      </w:r>
    </w:p>
    <w:p>
      <w:pPr>
        <w:pStyle w:val="Compact"/>
        <w:numPr>
          <w:ilvl w:val="0"/>
          <w:numId w:val="1003"/>
        </w:numPr>
      </w:pPr>
      <w:r>
        <w:rPr>
          <w:b/>
          <w:bCs/>
        </w:rPr>
        <w:t xml:space="preserve">Classification</w:t>
      </w:r>
      <w:r>
        <w:t xml:space="preserve">:</w:t>
      </w:r>
      <w:r>
        <w:t xml:space="preserve"> </w:t>
      </w:r>
      <w:r>
        <w:rPr>
          <w:rStyle w:val="VerbatimChar"/>
        </w:rPr>
        <w:t xml:space="preserve">safety</w:t>
      </w:r>
    </w:p>
    <w:p>
      <w:pPr>
        <w:pStyle w:val="Compact"/>
        <w:numPr>
          <w:ilvl w:val="0"/>
          <w:numId w:val="1003"/>
        </w:numPr>
      </w:pPr>
      <w:r>
        <w:rPr>
          <w:b/>
          <w:bCs/>
        </w:rPr>
        <w:t xml:space="preserve">ASIL</w:t>
      </w:r>
      <w:r>
        <w:t xml:space="preserve">:</w:t>
      </w:r>
      <w:r>
        <w:t xml:space="preserve"> </w:t>
      </w:r>
      <w:r>
        <w:rPr>
          <w:rStyle w:val="VerbatimChar"/>
        </w:rPr>
        <w:t xml:space="preserve">ASIL_D</w:t>
      </w:r>
    </w:p>
    <w:p>
      <w:pPr>
        <w:pStyle w:val="Compact"/>
        <w:numPr>
          <w:ilvl w:val="0"/>
          <w:numId w:val="1003"/>
        </w:numPr>
      </w:pPr>
      <w:r>
        <w:rPr>
          <w:b/>
          <w:bCs/>
        </w:rPr>
        <w:t xml:space="preserve">Acceptance criteria</w:t>
      </w:r>
      <w:r>
        <w:t xml:space="preserve">:</w:t>
      </w:r>
    </w:p>
    <w:p>
      <w:pPr>
        <w:pStyle w:val="Compact"/>
        <w:numPr>
          <w:ilvl w:val="1"/>
          <w:numId w:val="1004"/>
        </w:numPr>
      </w:pPr>
      <w:r>
        <w:t xml:space="preserve">Bit error rate: BER under EMC conditions ≤ 1E-9 errors/bit</w:t>
      </w:r>
    </w:p>
    <w:p>
      <w:pPr>
        <w:pStyle w:val="Compact"/>
        <w:numPr>
          <w:ilvl w:val="1"/>
          <w:numId w:val="1004"/>
        </w:numPr>
      </w:pPr>
      <w:r>
        <w:t xml:space="preserve">Failure detection time: Time from communication loss to SW notification ≤ 5 ms</w:t>
      </w:r>
    </w:p>
    <w:p>
      <w:pPr>
        <w:pStyle w:val="Compact"/>
        <w:numPr>
          <w:ilvl w:val="1"/>
          <w:numId w:val="1004"/>
        </w:numPr>
      </w:pPr>
      <w:r>
        <w:t xml:space="preserve">CRC coverage: CRC polynomial coverage ≤ 100% %</w:t>
      </w:r>
    </w:p>
    <w:p>
      <w:pPr>
        <w:pStyle w:val="Compact"/>
        <w:numPr>
          <w:ilvl w:val="0"/>
          <w:numId w:val="1003"/>
        </w:numPr>
      </w:pPr>
      <w:r>
        <w:rPr>
          <w:b/>
          <w:bCs/>
        </w:rPr>
        <w:t xml:space="preserve">Source references</w:t>
      </w:r>
      <w:r>
        <w:t xml:space="preserve">:</w:t>
      </w:r>
      <w:r>
        <w:t xml:space="preserve"> </w:t>
      </w:r>
      <w:r>
        <w:rPr>
          <w:rStyle w:val="VerbatimChar"/>
        </w:rPr>
        <w:t xml:space="preserve">FB2-SRC-HW-000003</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03"/>
        </w:numPr>
      </w:pPr>
      <w:r>
        <w:rPr>
          <w:b/>
          <w:bCs/>
        </w:rPr>
        <w:t xml:space="preserve">Assumption references</w:t>
      </w:r>
      <w:r>
        <w:t xml:space="preserve">:</w:t>
      </w:r>
      <w:r>
        <w:t xml:space="preserve"> </w:t>
      </w:r>
      <w:r>
        <w:rPr>
          <w:rStyle w:val="VerbatimChar"/>
        </w:rPr>
        <w:t xml:space="preserve">FB2-ASM-008</w:t>
      </w:r>
    </w:p>
    <w:bookmarkEnd w:id="23"/>
    <w:bookmarkStart w:id="24" w:name="Xa9189893a5e974e8f7c6b24542c8eed4fa851d0"/>
    <w:p>
      <w:pPr>
        <w:pStyle w:val="Heading4"/>
      </w:pPr>
      <w:r>
        <w:rPr>
          <w:rStyle w:val="VerbatimChar"/>
        </w:rPr>
        <w:t xml:space="preserve">FB2-SW-SWR-000001</w:t>
      </w:r>
      <w:r>
        <w:t xml:space="preserve"> </w:t>
      </w:r>
      <w:r>
        <w:t xml:space="preserve">— SWR: AFE Driver - Cell Voltage Acquisition</w:t>
      </w:r>
    </w:p>
    <w:p>
      <w:pPr>
        <w:pStyle w:val="Compact"/>
        <w:numPr>
          <w:ilvl w:val="0"/>
          <w:numId w:val="1005"/>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FB2-LNK-SAF-000008</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05"/>
        </w:numPr>
      </w:pPr>
      <w:r>
        <w:rPr>
          <w:b/>
          <w:bCs/>
        </w:rPr>
        <w:t xml:space="preserve">Statement</w:t>
      </w:r>
      <w:r>
        <w:t xml:space="preserve">: The AFE driver shall trigger SPI/DMA acquisition of all cell voltages at 20 Hz, validate PEC/CRC, and publish to database within 5 ms of acquisition complete.</w:t>
      </w:r>
    </w:p>
    <w:p>
      <w:pPr>
        <w:pStyle w:val="Compact"/>
        <w:numPr>
          <w:ilvl w:val="0"/>
          <w:numId w:val="1005"/>
        </w:numPr>
      </w:pPr>
      <w:r>
        <w:rPr>
          <w:b/>
          <w:bCs/>
        </w:rPr>
        <w:t xml:space="preserve">Rationale</w:t>
      </w:r>
      <w:r>
        <w:t xml:space="preserve">: Software must acquire and validate AFE data within FTTI budget</w:t>
      </w:r>
    </w:p>
    <w:p>
      <w:pPr>
        <w:pStyle w:val="Compact"/>
        <w:numPr>
          <w:ilvl w:val="0"/>
          <w:numId w:val="1005"/>
        </w:numPr>
      </w:pPr>
      <w:r>
        <w:rPr>
          <w:b/>
          <w:bCs/>
        </w:rPr>
        <w:t xml:space="preserve">Classification</w:t>
      </w:r>
      <w:r>
        <w:t xml:space="preserve">:</w:t>
      </w:r>
      <w:r>
        <w:t xml:space="preserve"> </w:t>
      </w:r>
      <w:r>
        <w:rPr>
          <w:rStyle w:val="VerbatimChar"/>
        </w:rPr>
        <w:t xml:space="preserve">safety</w:t>
      </w:r>
    </w:p>
    <w:p>
      <w:pPr>
        <w:pStyle w:val="Compact"/>
        <w:numPr>
          <w:ilvl w:val="0"/>
          <w:numId w:val="1005"/>
        </w:numPr>
      </w:pPr>
      <w:r>
        <w:rPr>
          <w:b/>
          <w:bCs/>
        </w:rPr>
        <w:t xml:space="preserve">ASIL</w:t>
      </w:r>
      <w:r>
        <w:t xml:space="preserve">:</w:t>
      </w:r>
      <w:r>
        <w:t xml:space="preserve"> </w:t>
      </w:r>
      <w:r>
        <w:rPr>
          <w:rStyle w:val="VerbatimChar"/>
        </w:rPr>
        <w:t xml:space="preserve">ASIL_D</w:t>
      </w:r>
    </w:p>
    <w:p>
      <w:pPr>
        <w:pStyle w:val="Compact"/>
        <w:numPr>
          <w:ilvl w:val="0"/>
          <w:numId w:val="1005"/>
        </w:numPr>
      </w:pPr>
      <w:r>
        <w:rPr>
          <w:b/>
          <w:bCs/>
        </w:rPr>
        <w:t xml:space="preserve">Acceptance criteria</w:t>
      </w:r>
      <w:r>
        <w:t xml:space="preserve">:</w:t>
      </w:r>
    </w:p>
    <w:p>
      <w:pPr>
        <w:pStyle w:val="Compact"/>
        <w:numPr>
          <w:ilvl w:val="1"/>
          <w:numId w:val="1006"/>
        </w:numPr>
      </w:pPr>
      <w:r>
        <w:t xml:space="preserve">Acquisition period: Timer period ≤ 50 ms</w:t>
      </w:r>
    </w:p>
    <w:p>
      <w:pPr>
        <w:pStyle w:val="Compact"/>
        <w:numPr>
          <w:ilvl w:val="1"/>
          <w:numId w:val="1006"/>
        </w:numPr>
      </w:pPr>
      <w:r>
        <w:t xml:space="preserve">PEC/CRC validation: Error detection before database write ≤ 100% %</w:t>
      </w:r>
    </w:p>
    <w:p>
      <w:pPr>
        <w:pStyle w:val="Compact"/>
        <w:numPr>
          <w:ilvl w:val="1"/>
          <w:numId w:val="1006"/>
        </w:numPr>
      </w:pPr>
      <w:r>
        <w:t xml:space="preserve">Database publish latency: Time from SPI complete to database write ≤ 5 ms</w:t>
      </w:r>
    </w:p>
    <w:p>
      <w:pPr>
        <w:pStyle w:val="Compact"/>
        <w:numPr>
          <w:ilvl w:val="0"/>
          <w:numId w:val="1005"/>
        </w:numPr>
      </w:pPr>
      <w:r>
        <w:rPr>
          <w:b/>
          <w:bCs/>
        </w:rPr>
        <w:t xml:space="preserve">Source references</w:t>
      </w:r>
      <w:r>
        <w:t xml:space="preserve">:</w:t>
      </w:r>
      <w:r>
        <w:t xml:space="preserve"> </w:t>
      </w:r>
      <w:r>
        <w:rPr>
          <w:rStyle w:val="VerbatimChar"/>
        </w:rPr>
        <w:t xml:space="preserve">FB2-SRC-COD-000001</w:t>
      </w:r>
      <w:r>
        <w:t xml:space="preserve">,</w:t>
      </w:r>
      <w:r>
        <w:t xml:space="preserve"> </w:t>
      </w:r>
      <w:r>
        <w:rPr>
          <w:rStyle w:val="VerbatimChar"/>
        </w:rPr>
        <w:t xml:space="preserve">FB2-SRC-COD-000002</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05"/>
        </w:numPr>
      </w:pPr>
      <w:r>
        <w:rPr>
          <w:b/>
          <w:bCs/>
        </w:rPr>
        <w:t xml:space="preserve">Assumption references</w:t>
      </w:r>
      <w:r>
        <w:t xml:space="preserve">:</w:t>
      </w:r>
      <w:r>
        <w:t xml:space="preserve"> </w:t>
      </w:r>
      <w:r>
        <w:rPr>
          <w:rStyle w:val="VerbatimChar"/>
        </w:rPr>
        <w:t xml:space="preserve">FB2-ASM-010</w:t>
      </w:r>
    </w:p>
    <w:bookmarkEnd w:id="24"/>
    <w:bookmarkEnd w:id="25"/>
    <w:bookmarkStart w:id="27" w:name="parent-fsr-fb2-saf-fsr-000002"/>
    <w:p>
      <w:pPr>
        <w:pStyle w:val="Heading3"/>
      </w:pPr>
      <w:r>
        <w:t xml:space="preserve">Parent FSR:</w:t>
      </w:r>
      <w:r>
        <w:t xml:space="preserve"> </w:t>
      </w:r>
      <w:r>
        <w:rPr>
          <w:rStyle w:val="VerbatimChar"/>
        </w:rPr>
        <w:t xml:space="preserve">FB2-SAF-FSR-000002</w:t>
      </w:r>
    </w:p>
    <w:bookmarkStart w:id="26" w:name="Xe52e109dfc566de15d580cb068f75bfcd0f4908"/>
    <w:p>
      <w:pPr>
        <w:pStyle w:val="Heading4"/>
      </w:pPr>
      <w:r>
        <w:rPr>
          <w:rStyle w:val="VerbatimChar"/>
        </w:rPr>
        <w:t xml:space="preserve">FB2-SW-SWR-000002</w:t>
      </w:r>
      <w:r>
        <w:t xml:space="preserve"> </w:t>
      </w:r>
      <w:r>
        <w:t xml:space="preserve">— SWR: SOA Voltage Limit Monitoring</w:t>
      </w:r>
    </w:p>
    <w:p>
      <w:pPr>
        <w:pStyle w:val="Compact"/>
        <w:numPr>
          <w:ilvl w:val="0"/>
          <w:numId w:val="1007"/>
        </w:numPr>
      </w:pPr>
      <w:r>
        <w:rPr>
          <w:b/>
          <w:bCs/>
        </w:rPr>
        <w:t xml:space="preserve">Allocated to</w:t>
      </w:r>
      <w:r>
        <w:t xml:space="preserve">:</w:t>
      </w:r>
      <w:r>
        <w:t xml:space="preserve"> </w:t>
      </w:r>
      <w:r>
        <w:rPr>
          <w:rStyle w:val="VerbatimChar"/>
        </w:rPr>
        <w:t xml:space="preserve">FB2-SAF-FSR-000002</w:t>
      </w:r>
      <w:r>
        <w:t xml:space="preserve"> </w:t>
      </w:r>
      <w:r>
        <w:t xml:space="preserve">(link</w:t>
      </w:r>
      <w:r>
        <w:t xml:space="preserve"> </w:t>
      </w:r>
      <w:r>
        <w:rPr>
          <w:rStyle w:val="VerbatimChar"/>
        </w:rPr>
        <w:t xml:space="preserve">FB2-LNK-SAF-000009</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07"/>
        </w:numPr>
      </w:pPr>
      <w:r>
        <w:rPr>
          <w:b/>
          <w:bCs/>
        </w:rPr>
        <w:t xml:space="preserve">Statement</w:t>
      </w:r>
      <w:r>
        <w:t xml:space="preserve">: The SOA module shall read cell voltages from database and compare against configured limits within 10 ms of data availability, triggering FAULT state on confirmed violation.</w:t>
      </w:r>
    </w:p>
    <w:p>
      <w:pPr>
        <w:pStyle w:val="Compact"/>
        <w:numPr>
          <w:ilvl w:val="0"/>
          <w:numId w:val="1007"/>
        </w:numPr>
      </w:pPr>
      <w:r>
        <w:rPr>
          <w:b/>
          <w:bCs/>
        </w:rPr>
        <w:t xml:space="preserve">Rationale</w:t>
      </w:r>
      <w:r>
        <w:t xml:space="preserve">: SOA software must detect violations and trigger contactor opening within FTTI</w:t>
      </w:r>
    </w:p>
    <w:p>
      <w:pPr>
        <w:pStyle w:val="Compact"/>
        <w:numPr>
          <w:ilvl w:val="0"/>
          <w:numId w:val="1007"/>
        </w:numPr>
      </w:pPr>
      <w:r>
        <w:rPr>
          <w:b/>
          <w:bCs/>
        </w:rPr>
        <w:t xml:space="preserve">Classification</w:t>
      </w:r>
      <w:r>
        <w:t xml:space="preserve">:</w:t>
      </w:r>
      <w:r>
        <w:t xml:space="preserve"> </w:t>
      </w:r>
      <w:r>
        <w:rPr>
          <w:rStyle w:val="VerbatimChar"/>
        </w:rPr>
        <w:t xml:space="preserve">safety</w:t>
      </w:r>
    </w:p>
    <w:p>
      <w:pPr>
        <w:pStyle w:val="Compact"/>
        <w:numPr>
          <w:ilvl w:val="0"/>
          <w:numId w:val="1007"/>
        </w:numPr>
      </w:pPr>
      <w:r>
        <w:rPr>
          <w:b/>
          <w:bCs/>
        </w:rPr>
        <w:t xml:space="preserve">ASIL</w:t>
      </w:r>
      <w:r>
        <w:t xml:space="preserve">:</w:t>
      </w:r>
      <w:r>
        <w:t xml:space="preserve"> </w:t>
      </w:r>
      <w:r>
        <w:rPr>
          <w:rStyle w:val="VerbatimChar"/>
        </w:rPr>
        <w:t xml:space="preserve">ASIL_D</w:t>
      </w:r>
    </w:p>
    <w:p>
      <w:pPr>
        <w:pStyle w:val="Compact"/>
        <w:numPr>
          <w:ilvl w:val="0"/>
          <w:numId w:val="1007"/>
        </w:numPr>
      </w:pPr>
      <w:r>
        <w:rPr>
          <w:b/>
          <w:bCs/>
        </w:rPr>
        <w:t xml:space="preserve">Acceptance criteria</w:t>
      </w:r>
      <w:r>
        <w:t xml:space="preserve">:</w:t>
      </w:r>
    </w:p>
    <w:p>
      <w:pPr>
        <w:pStyle w:val="Compact"/>
        <w:numPr>
          <w:ilvl w:val="1"/>
          <w:numId w:val="1008"/>
        </w:numPr>
      </w:pPr>
      <w:r>
        <w:t xml:space="preserve">Limit check latency: Time from database read to violation classification ≤ 10 ms</w:t>
      </w:r>
    </w:p>
    <w:p>
      <w:pPr>
        <w:pStyle w:val="Compact"/>
        <w:numPr>
          <w:ilvl w:val="1"/>
          <w:numId w:val="1008"/>
        </w:numPr>
      </w:pPr>
      <w:r>
        <w:t xml:space="preserve">Threshold accuracy: Comparison accuracy vs config ≤ 1 mV</w:t>
      </w:r>
    </w:p>
    <w:p>
      <w:pPr>
        <w:pStyle w:val="Compact"/>
        <w:numPr>
          <w:ilvl w:val="1"/>
          <w:numId w:val="1008"/>
        </w:numPr>
      </w:pPr>
      <w:r>
        <w:t xml:space="preserve">FAULT state transition: Time from violation to SYS state FAULT ≤ 5 ms</w:t>
      </w:r>
    </w:p>
    <w:p>
      <w:pPr>
        <w:pStyle w:val="Compact"/>
        <w:numPr>
          <w:ilvl w:val="0"/>
          <w:numId w:val="1007"/>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FB2-SRC-COD-000009</w:t>
      </w:r>
      <w:r>
        <w:t xml:space="preserve">,</w:t>
      </w:r>
      <w:r>
        <w:t xml:space="preserve"> </w:t>
      </w:r>
      <w:r>
        <w:rPr>
          <w:rStyle w:val="VerbatimChar"/>
        </w:rPr>
        <w:t xml:space="preserve">FB2-SRC-COD-000010</w:t>
      </w:r>
    </w:p>
    <w:p>
      <w:pPr>
        <w:pStyle w:val="Compact"/>
        <w:numPr>
          <w:ilvl w:val="0"/>
          <w:numId w:val="1007"/>
        </w:numPr>
      </w:pPr>
      <w:r>
        <w:rPr>
          <w:b/>
          <w:bCs/>
        </w:rPr>
        <w:t xml:space="preserve">Assumption references</w:t>
      </w:r>
      <w:r>
        <w:t xml:space="preserve">:</w:t>
      </w:r>
      <w:r>
        <w:t xml:space="preserve"> </w:t>
      </w:r>
      <w:r>
        <w:rPr>
          <w:rStyle w:val="VerbatimChar"/>
        </w:rPr>
        <w:t xml:space="preserve">FB2-ASM-011</w:t>
      </w:r>
    </w:p>
    <w:bookmarkEnd w:id="26"/>
    <w:bookmarkEnd w:id="27"/>
    <w:bookmarkStart w:id="30" w:name="parent-fsr-fb2-saf-fsr-000003"/>
    <w:p>
      <w:pPr>
        <w:pStyle w:val="Heading3"/>
      </w:pPr>
      <w:r>
        <w:t xml:space="preserve">Parent FSR:</w:t>
      </w:r>
      <w:r>
        <w:t xml:space="preserve"> </w:t>
      </w:r>
      <w:r>
        <w:rPr>
          <w:rStyle w:val="VerbatimChar"/>
        </w:rPr>
        <w:t xml:space="preserve">FB2-SAF-FSR-000003</w:t>
      </w:r>
    </w:p>
    <w:bookmarkStart w:id="28" w:name="Xd310bafbc9be2066d183f6fe2840dded077cc08"/>
    <w:p>
      <w:pPr>
        <w:pStyle w:val="Heading4"/>
      </w:pPr>
      <w:r>
        <w:rPr>
          <w:rStyle w:val="VerbatimChar"/>
        </w:rPr>
        <w:t xml:space="preserve">FB2-HW-TSR-000003</w:t>
      </w:r>
      <w:r>
        <w:t xml:space="preserve"> </w:t>
      </w:r>
      <w:r>
        <w:t xml:space="preserve">— TSR: Contactor Driver and Feedback</w:t>
      </w:r>
    </w:p>
    <w:p>
      <w:pPr>
        <w:pStyle w:val="Compact"/>
        <w:numPr>
          <w:ilvl w:val="0"/>
          <w:numId w:val="1009"/>
        </w:numPr>
      </w:pPr>
      <w:r>
        <w:rPr>
          <w:b/>
          <w:bCs/>
        </w:rPr>
        <w:t xml:space="preserve">Allocated to</w:t>
      </w:r>
      <w:r>
        <w:t xml:space="preserve">:</w:t>
      </w:r>
      <w:r>
        <w:t xml:space="preserve"> </w:t>
      </w:r>
      <w:r>
        <w:rPr>
          <w:rStyle w:val="VerbatimChar"/>
        </w:rPr>
        <w:t xml:space="preserve">FB2-SAF-FSR-000003</w:t>
      </w:r>
      <w:r>
        <w:t xml:space="preserve"> </w:t>
      </w:r>
      <w:r>
        <w:t xml:space="preserve">(link</w:t>
      </w:r>
      <w:r>
        <w:t xml:space="preserve"> </w:t>
      </w:r>
      <w:r>
        <w:rPr>
          <w:rStyle w:val="VerbatimChar"/>
        </w:rPr>
        <w:t xml:space="preserve">FB2-LNK-SAF-000007</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09"/>
        </w:numPr>
      </w:pPr>
      <w:r>
        <w:rPr>
          <w:b/>
          <w:bCs/>
        </w:rPr>
        <w:t xml:space="preserve">Statement</w:t>
      </w:r>
      <w:r>
        <w:t xml:space="preserve">: The SBC (FS85xx) shall drive contactor coils with controlled slew rate and monitor auxiliary feedback contacts with &lt; 2 ms latency.</w:t>
      </w:r>
    </w:p>
    <w:p>
      <w:pPr>
        <w:pStyle w:val="Compact"/>
        <w:numPr>
          <w:ilvl w:val="0"/>
          <w:numId w:val="1009"/>
        </w:numPr>
      </w:pPr>
      <w:r>
        <w:rPr>
          <w:b/>
          <w:bCs/>
        </w:rPr>
        <w:t xml:space="preserve">Rationale</w:t>
      </w:r>
      <w:r>
        <w:t xml:space="preserve">: Contactor control and feedback monitoring must meet FSR-003 30 ms latency budget</w:t>
      </w:r>
    </w:p>
    <w:p>
      <w:pPr>
        <w:pStyle w:val="Compact"/>
        <w:numPr>
          <w:ilvl w:val="0"/>
          <w:numId w:val="1009"/>
        </w:numPr>
      </w:pPr>
      <w:r>
        <w:rPr>
          <w:b/>
          <w:bCs/>
        </w:rPr>
        <w:t xml:space="preserve">Classification</w:t>
      </w:r>
      <w:r>
        <w:t xml:space="preserve">:</w:t>
      </w:r>
      <w:r>
        <w:t xml:space="preserve"> </w:t>
      </w:r>
      <w:r>
        <w:rPr>
          <w:rStyle w:val="VerbatimChar"/>
        </w:rPr>
        <w:t xml:space="preserve">safety</w:t>
      </w:r>
    </w:p>
    <w:p>
      <w:pPr>
        <w:pStyle w:val="Compact"/>
        <w:numPr>
          <w:ilvl w:val="0"/>
          <w:numId w:val="1009"/>
        </w:numPr>
      </w:pPr>
      <w:r>
        <w:rPr>
          <w:b/>
          <w:bCs/>
        </w:rPr>
        <w:t xml:space="preserve">ASIL</w:t>
      </w:r>
      <w:r>
        <w:t xml:space="preserve">:</w:t>
      </w:r>
      <w:r>
        <w:t xml:space="preserve"> </w:t>
      </w:r>
      <w:r>
        <w:rPr>
          <w:rStyle w:val="VerbatimChar"/>
        </w:rPr>
        <w:t xml:space="preserve">ASIL_D</w:t>
      </w:r>
    </w:p>
    <w:p>
      <w:pPr>
        <w:pStyle w:val="Compact"/>
        <w:numPr>
          <w:ilvl w:val="0"/>
          <w:numId w:val="1009"/>
        </w:numPr>
      </w:pPr>
      <w:r>
        <w:rPr>
          <w:b/>
          <w:bCs/>
        </w:rPr>
        <w:t xml:space="preserve">Acceptance criteria</w:t>
      </w:r>
      <w:r>
        <w:t xml:space="preserve">:</w:t>
      </w:r>
    </w:p>
    <w:p>
      <w:pPr>
        <w:pStyle w:val="Compact"/>
        <w:numPr>
          <w:ilvl w:val="1"/>
          <w:numId w:val="1010"/>
        </w:numPr>
      </w:pPr>
      <w:r>
        <w:t xml:space="preserve">Coil drive slew rate: dV/dt at coil terminals ≤ 50 V/ms</w:t>
      </w:r>
    </w:p>
    <w:p>
      <w:pPr>
        <w:pStyle w:val="Compact"/>
        <w:numPr>
          <w:ilvl w:val="1"/>
          <w:numId w:val="1010"/>
        </w:numPr>
      </w:pPr>
      <w:r>
        <w:t xml:space="preserve">Feedback latency: Time from contactor state change to SW notification ≤ 2 ms</w:t>
      </w:r>
    </w:p>
    <w:p>
      <w:pPr>
        <w:pStyle w:val="Compact"/>
        <w:numPr>
          <w:ilvl w:val="1"/>
          <w:numId w:val="1010"/>
        </w:numPr>
      </w:pPr>
      <w:r>
        <w:t xml:space="preserve">Weld detection: Feedback mismatch detection time ≤ 100 ms</w:t>
      </w:r>
    </w:p>
    <w:p>
      <w:pPr>
        <w:pStyle w:val="Compact"/>
        <w:numPr>
          <w:ilvl w:val="0"/>
          <w:numId w:val="1009"/>
        </w:numPr>
      </w:pPr>
      <w:r>
        <w:rPr>
          <w:b/>
          <w:bCs/>
        </w:rPr>
        <w:t xml:space="preserve">Source references</w:t>
      </w:r>
      <w:r>
        <w:t xml:space="preserve">:</w:t>
      </w:r>
      <w:r>
        <w:t xml:space="preserve"> </w:t>
      </w:r>
      <w:r>
        <w:rPr>
          <w:rStyle w:val="VerbatimChar"/>
        </w:rPr>
        <w:t xml:space="preserve">FB2-SRC-HW-000001</w:t>
      </w:r>
      <w:r>
        <w:t xml:space="preserve">,</w:t>
      </w:r>
      <w:r>
        <w:t xml:space="preserve"> </w:t>
      </w:r>
      <w:r>
        <w:rPr>
          <w:rStyle w:val="VerbatimChar"/>
        </w:rPr>
        <w:t xml:space="preserve">FB2-SRC-COD-000007</w:t>
      </w:r>
      <w:r>
        <w:t xml:space="preserve">,</w:t>
      </w:r>
      <w:r>
        <w:t xml:space="preserve"> </w:t>
      </w:r>
      <w:r>
        <w:rPr>
          <w:rStyle w:val="VerbatimChar"/>
        </w:rPr>
        <w:t xml:space="preserve">FB2-SRC-COD-000008</w:t>
      </w:r>
      <w:r>
        <w:t xml:space="preserve">,</w:t>
      </w:r>
      <w:r>
        <w:t xml:space="preserve"> </w:t>
      </w:r>
      <w:r>
        <w:rPr>
          <w:rStyle w:val="VerbatimChar"/>
        </w:rPr>
        <w:t xml:space="preserve">FB2-SRC-COD-000027</w:t>
      </w:r>
    </w:p>
    <w:p>
      <w:pPr>
        <w:pStyle w:val="Compact"/>
        <w:numPr>
          <w:ilvl w:val="0"/>
          <w:numId w:val="1009"/>
        </w:numPr>
      </w:pPr>
      <w:r>
        <w:rPr>
          <w:b/>
          <w:bCs/>
        </w:rPr>
        <w:t xml:space="preserve">Assumption references</w:t>
      </w:r>
      <w:r>
        <w:t xml:space="preserve">:</w:t>
      </w:r>
      <w:r>
        <w:t xml:space="preserve"> </w:t>
      </w:r>
      <w:r>
        <w:rPr>
          <w:rStyle w:val="VerbatimChar"/>
        </w:rPr>
        <w:t xml:space="preserve">FB2-ASM-009</w:t>
      </w:r>
    </w:p>
    <w:bookmarkEnd w:id="28"/>
    <w:bookmarkStart w:id="29" w:name="Xdaff8bb06108fdfef4cbb58e34fce528affddd4"/>
    <w:p>
      <w:pPr>
        <w:pStyle w:val="Heading4"/>
      </w:pPr>
      <w:r>
        <w:rPr>
          <w:rStyle w:val="VerbatimChar"/>
        </w:rPr>
        <w:t xml:space="preserve">FB2-SW-SWR-000003</w:t>
      </w:r>
      <w:r>
        <w:t xml:space="preserve"> </w:t>
      </w:r>
      <w:r>
        <w:t xml:space="preserve">— SWR: Contactor State Machine and Fault Response</w:t>
      </w:r>
    </w:p>
    <w:p>
      <w:pPr>
        <w:pStyle w:val="Compact"/>
        <w:numPr>
          <w:ilvl w:val="0"/>
          <w:numId w:val="1011"/>
        </w:numPr>
      </w:pPr>
      <w:r>
        <w:rPr>
          <w:b/>
          <w:bCs/>
        </w:rPr>
        <w:t xml:space="preserve">Allocated to</w:t>
      </w:r>
      <w:r>
        <w:t xml:space="preserve">:</w:t>
      </w:r>
      <w:r>
        <w:t xml:space="preserve"> </w:t>
      </w:r>
      <w:r>
        <w:rPr>
          <w:rStyle w:val="VerbatimChar"/>
        </w:rPr>
        <w:t xml:space="preserve">FB2-SAF-FSR-000003</w:t>
      </w:r>
      <w:r>
        <w:t xml:space="preserve"> </w:t>
      </w:r>
      <w:r>
        <w:t xml:space="preserve">(link</w:t>
      </w:r>
      <w:r>
        <w:t xml:space="preserve"> </w:t>
      </w:r>
      <w:r>
        <w:rPr>
          <w:rStyle w:val="VerbatimChar"/>
        </w:rPr>
        <w:t xml:space="preserve">FB2-LNK-SAF-000010</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11"/>
        </w:numPr>
      </w:pPr>
      <w:r>
        <w:rPr>
          <w:b/>
          <w:bCs/>
        </w:rPr>
        <w:t xml:space="preserve">Statement</w:t>
      </w:r>
      <w:r>
        <w:t xml:space="preserve">: The contactor driver shall execute state machine (OPEN -&gt; PRECHARGE -&gt; CLOSE -&gt; HOLD) and open contactors within 5 ms of FAULT state request from SOA/DIAG.</w:t>
      </w:r>
    </w:p>
    <w:p>
      <w:pPr>
        <w:pStyle w:val="Compact"/>
        <w:numPr>
          <w:ilvl w:val="0"/>
          <w:numId w:val="1011"/>
        </w:numPr>
      </w:pPr>
      <w:r>
        <w:rPr>
          <w:b/>
          <w:bCs/>
        </w:rPr>
        <w:t xml:space="preserve">Rationale</w:t>
      </w:r>
      <w:r>
        <w:t xml:space="preserve">: Contactor software must respond to SOA violations within FTTI budget</w:t>
      </w:r>
    </w:p>
    <w:p>
      <w:pPr>
        <w:pStyle w:val="Compact"/>
        <w:numPr>
          <w:ilvl w:val="0"/>
          <w:numId w:val="1011"/>
        </w:numPr>
      </w:pPr>
      <w:r>
        <w:rPr>
          <w:b/>
          <w:bCs/>
        </w:rPr>
        <w:t xml:space="preserve">Classification</w:t>
      </w:r>
      <w:r>
        <w:t xml:space="preserve">:</w:t>
      </w:r>
      <w:r>
        <w:t xml:space="preserve"> </w:t>
      </w:r>
      <w:r>
        <w:rPr>
          <w:rStyle w:val="VerbatimChar"/>
        </w:rPr>
        <w:t xml:space="preserve">safety</w:t>
      </w:r>
    </w:p>
    <w:p>
      <w:pPr>
        <w:pStyle w:val="Compact"/>
        <w:numPr>
          <w:ilvl w:val="0"/>
          <w:numId w:val="1011"/>
        </w:numPr>
      </w:pPr>
      <w:r>
        <w:rPr>
          <w:b/>
          <w:bCs/>
        </w:rPr>
        <w:t xml:space="preserve">ASIL</w:t>
      </w:r>
      <w:r>
        <w:t xml:space="preserve">:</w:t>
      </w:r>
      <w:r>
        <w:t xml:space="preserve"> </w:t>
      </w:r>
      <w:r>
        <w:rPr>
          <w:rStyle w:val="VerbatimChar"/>
        </w:rPr>
        <w:t xml:space="preserve">ASIL_D</w:t>
      </w:r>
    </w:p>
    <w:p>
      <w:pPr>
        <w:pStyle w:val="Compact"/>
        <w:numPr>
          <w:ilvl w:val="0"/>
          <w:numId w:val="1011"/>
        </w:numPr>
      </w:pPr>
      <w:r>
        <w:rPr>
          <w:b/>
          <w:bCs/>
        </w:rPr>
        <w:t xml:space="preserve">Acceptance criteria</w:t>
      </w:r>
      <w:r>
        <w:t xml:space="preserve">:</w:t>
      </w:r>
    </w:p>
    <w:p>
      <w:pPr>
        <w:pStyle w:val="Compact"/>
        <w:numPr>
          <w:ilvl w:val="1"/>
          <w:numId w:val="1012"/>
        </w:numPr>
      </w:pPr>
      <w:r>
        <w:t xml:space="preserve">Fault response latency: Time from FAULT request to coil de-energize command ≤ 5 ms</w:t>
      </w:r>
    </w:p>
    <w:p>
      <w:pPr>
        <w:pStyle w:val="Compact"/>
        <w:numPr>
          <w:ilvl w:val="1"/>
          <w:numId w:val="1012"/>
        </w:numPr>
      </w:pPr>
      <w:r>
        <w:t xml:space="preserve">Feedback verification: Auxiliary contact readback after command ≤ 100% %</w:t>
      </w:r>
    </w:p>
    <w:p>
      <w:pPr>
        <w:pStyle w:val="Compact"/>
        <w:numPr>
          <w:ilvl w:val="1"/>
          <w:numId w:val="1012"/>
        </w:numPr>
      </w:pPr>
      <w:r>
        <w:t xml:space="preserve">State machine correctness: Valid transitions only ≤ 100% %</w:t>
      </w:r>
    </w:p>
    <w:p>
      <w:pPr>
        <w:pStyle w:val="Compact"/>
        <w:numPr>
          <w:ilvl w:val="0"/>
          <w:numId w:val="1011"/>
        </w:numPr>
      </w:pPr>
      <w:r>
        <w:rPr>
          <w:b/>
          <w:bCs/>
        </w:rPr>
        <w:t xml:space="preserve">Source references</w:t>
      </w:r>
      <w:r>
        <w:t xml:space="preserve">:</w:t>
      </w:r>
      <w:r>
        <w:t xml:space="preserve"> </w:t>
      </w:r>
      <w:r>
        <w:rPr>
          <w:rStyle w:val="VerbatimChar"/>
        </w:rPr>
        <w:t xml:space="preserve">FB2-SRC-COD-000007</w:t>
      </w:r>
      <w:r>
        <w:t xml:space="preserve">,</w:t>
      </w:r>
      <w:r>
        <w:t xml:space="preserve"> </w:t>
      </w:r>
      <w:r>
        <w:rPr>
          <w:rStyle w:val="VerbatimChar"/>
        </w:rPr>
        <w:t xml:space="preserve">FB2-SRC-COD-000008</w:t>
      </w:r>
      <w:r>
        <w:t xml:space="preserve">,</w:t>
      </w:r>
      <w:r>
        <w:t xml:space="preserve"> </w:t>
      </w:r>
      <w:r>
        <w:rPr>
          <w:rStyle w:val="VerbatimChar"/>
        </w:rPr>
        <w:t xml:space="preserve">FB2-SRC-COD-000009</w:t>
      </w:r>
      <w:r>
        <w:t xml:space="preserve">,</w:t>
      </w:r>
      <w:r>
        <w:t xml:space="preserve"> </w:t>
      </w:r>
      <w:r>
        <w:rPr>
          <w:rStyle w:val="VerbatimChar"/>
        </w:rPr>
        <w:t xml:space="preserve">FB2-SRC-COD-000013</w:t>
      </w:r>
    </w:p>
    <w:p>
      <w:pPr>
        <w:pStyle w:val="Compact"/>
        <w:numPr>
          <w:ilvl w:val="0"/>
          <w:numId w:val="1011"/>
        </w:numPr>
      </w:pPr>
      <w:r>
        <w:rPr>
          <w:b/>
          <w:bCs/>
        </w:rPr>
        <w:t xml:space="preserve">Assumption references</w:t>
      </w:r>
      <w:r>
        <w:t xml:space="preserve">:</w:t>
      </w:r>
      <w:r>
        <w:t xml:space="preserve"> </w:t>
      </w:r>
      <w:r>
        <w:rPr>
          <w:rStyle w:val="VerbatimChar"/>
        </w:rPr>
        <w:t xml:space="preserve">FB2-ASM-012</w:t>
      </w:r>
    </w:p>
    <w:bookmarkEnd w:id="29"/>
    <w:bookmarkEnd w:id="30"/>
    <w:bookmarkEnd w:id="31"/>
    <w:bookmarkStart w:id="45" w:name="profile-synthetic_reference"/>
    <w:p>
      <w:pPr>
        <w:pStyle w:val="Heading2"/>
      </w:pPr>
      <w:r>
        <w:t xml:space="preserve">Profile:</w:t>
      </w:r>
      <w:r>
        <w:t xml:space="preserve"> </w:t>
      </w:r>
      <w:r>
        <w:rPr>
          <w:rStyle w:val="VerbatimChar"/>
        </w:rPr>
        <w:t xml:space="preserve">synthetic_reference</w:t>
      </w:r>
    </w:p>
    <w:bookmarkStart w:id="35" w:name="parent-fsr-fb2-saf-fsr-000001-1"/>
    <w:p>
      <w:pPr>
        <w:pStyle w:val="Heading3"/>
      </w:pPr>
      <w:r>
        <w:t xml:space="preserve">Parent FSR:</w:t>
      </w:r>
      <w:r>
        <w:t xml:space="preserve"> </w:t>
      </w:r>
      <w:r>
        <w:rPr>
          <w:rStyle w:val="VerbatimChar"/>
        </w:rPr>
        <w:t xml:space="preserve">FB2-SAF-FSR-000001</w:t>
      </w:r>
    </w:p>
    <w:bookmarkStart w:id="32" w:name="Xe64e4e0f1b32f11fc46219021901ae70043a329"/>
    <w:p>
      <w:pPr>
        <w:pStyle w:val="Heading4"/>
      </w:pPr>
      <w:r>
        <w:rPr>
          <w:rStyle w:val="VerbatimChar"/>
        </w:rPr>
        <w:t xml:space="preserve">FB2-HW-TSR-000001</w:t>
      </w:r>
      <w:r>
        <w:t xml:space="preserve"> </w:t>
      </w:r>
      <w:r>
        <w:t xml:space="preserve">— TSR: AFE Cell Voltage Measurement Accuracy</w:t>
      </w:r>
    </w:p>
    <w:p>
      <w:pPr>
        <w:pStyle w:val="Compact"/>
        <w:numPr>
          <w:ilvl w:val="0"/>
          <w:numId w:val="1013"/>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FB2-LNK-SAF-000005</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13"/>
        </w:numPr>
      </w:pPr>
      <w:r>
        <w:rPr>
          <w:b/>
          <w:bCs/>
        </w:rPr>
        <w:t xml:space="preserve">Statement</w:t>
      </w:r>
      <w:r>
        <w:t xml:space="preserve">: The AFE shall measure cell voltages with ±1.5 mV accuracy (including calibration) over -40°C to +85°C for 2.5V-4.2V range.</w:t>
      </w:r>
    </w:p>
    <w:p>
      <w:pPr>
        <w:pStyle w:val="Compact"/>
        <w:numPr>
          <w:ilvl w:val="0"/>
          <w:numId w:val="1013"/>
        </w:numPr>
      </w:pPr>
      <w:r>
        <w:rPr>
          <w:b/>
          <w:bCs/>
        </w:rPr>
        <w:t xml:space="preserve">Rationale</w:t>
      </w:r>
      <w:r>
        <w:t xml:space="preserve">: Required to support SOA limit detection with 1 mV threshold accuracy (FSR-002)</w:t>
      </w:r>
    </w:p>
    <w:p>
      <w:pPr>
        <w:pStyle w:val="Compact"/>
        <w:numPr>
          <w:ilvl w:val="0"/>
          <w:numId w:val="1013"/>
        </w:numPr>
      </w:pPr>
      <w:r>
        <w:rPr>
          <w:b/>
          <w:bCs/>
        </w:rPr>
        <w:t xml:space="preserve">Classification</w:t>
      </w:r>
      <w:r>
        <w:t xml:space="preserve">:</w:t>
      </w:r>
      <w:r>
        <w:t xml:space="preserve"> </w:t>
      </w:r>
      <w:r>
        <w:rPr>
          <w:rStyle w:val="VerbatimChar"/>
        </w:rPr>
        <w:t xml:space="preserve">safety</w:t>
      </w:r>
    </w:p>
    <w:p>
      <w:pPr>
        <w:pStyle w:val="Compact"/>
        <w:numPr>
          <w:ilvl w:val="0"/>
          <w:numId w:val="1013"/>
        </w:numPr>
      </w:pPr>
      <w:r>
        <w:rPr>
          <w:b/>
          <w:bCs/>
        </w:rPr>
        <w:t xml:space="preserve">ASIL</w:t>
      </w:r>
      <w:r>
        <w:t xml:space="preserve">:</w:t>
      </w:r>
      <w:r>
        <w:t xml:space="preserve"> </w:t>
      </w:r>
      <w:r>
        <w:rPr>
          <w:rStyle w:val="VerbatimChar"/>
        </w:rPr>
        <w:t xml:space="preserve">ASIL_D</w:t>
      </w:r>
    </w:p>
    <w:p>
      <w:pPr>
        <w:pStyle w:val="Compact"/>
        <w:numPr>
          <w:ilvl w:val="0"/>
          <w:numId w:val="1013"/>
        </w:numPr>
      </w:pPr>
      <w:r>
        <w:rPr>
          <w:b/>
          <w:bCs/>
        </w:rPr>
        <w:t xml:space="preserve">Acceptance criteria</w:t>
      </w:r>
      <w:r>
        <w:t xml:space="preserve">:</w:t>
      </w:r>
    </w:p>
    <w:p>
      <w:pPr>
        <w:pStyle w:val="Compact"/>
        <w:numPr>
          <w:ilvl w:val="1"/>
          <w:numId w:val="1014"/>
        </w:numPr>
      </w:pPr>
      <w:r>
        <w:t xml:space="preserve">Measurement accuracy: Total error (offset + gain + temp drift) ≤ 1.5 mV</w:t>
      </w:r>
    </w:p>
    <w:p>
      <w:pPr>
        <w:pStyle w:val="Compact"/>
        <w:numPr>
          <w:ilvl w:val="1"/>
          <w:numId w:val="1014"/>
        </w:numPr>
      </w:pPr>
      <w:r>
        <w:t xml:space="preserve">Resolution: LSB size ≤ 0.5 mV</w:t>
      </w:r>
    </w:p>
    <w:p>
      <w:pPr>
        <w:pStyle w:val="Compact"/>
        <w:numPr>
          <w:ilvl w:val="1"/>
          <w:numId w:val="1014"/>
        </w:numPr>
      </w:pPr>
      <w:r>
        <w:t xml:space="preserve">PEC error detection: Single-bit error detection ≤ 100% %</w:t>
      </w:r>
    </w:p>
    <w:p>
      <w:pPr>
        <w:pStyle w:val="Compact"/>
        <w:numPr>
          <w:ilvl w:val="0"/>
          <w:numId w:val="1013"/>
        </w:numPr>
      </w:pPr>
      <w:r>
        <w:rPr>
          <w:b/>
          <w:bCs/>
        </w:rPr>
        <w:t xml:space="preserve">Source references</w:t>
      </w:r>
      <w:r>
        <w:t xml:space="preserve">:</w:t>
      </w:r>
      <w:r>
        <w:t xml:space="preserve"> </w:t>
      </w:r>
      <w:r>
        <w:rPr>
          <w:rStyle w:val="VerbatimChar"/>
        </w:rPr>
        <w:t xml:space="preserve">FB2-SRC-HW-000002</w:t>
      </w:r>
      <w:r>
        <w:t xml:space="preserve">,</w:t>
      </w:r>
      <w:r>
        <w:t xml:space="preserve"> </w:t>
      </w:r>
      <w:r>
        <w:rPr>
          <w:rStyle w:val="VerbatimChar"/>
        </w:rPr>
        <w:t xml:space="preserve">FB2-SRC-COD-000001</w:t>
      </w:r>
    </w:p>
    <w:p>
      <w:pPr>
        <w:pStyle w:val="Compact"/>
        <w:numPr>
          <w:ilvl w:val="0"/>
          <w:numId w:val="1013"/>
        </w:numPr>
      </w:pPr>
      <w:r>
        <w:rPr>
          <w:b/>
          <w:bCs/>
        </w:rPr>
        <w:t xml:space="preserve">Assumption references</w:t>
      </w:r>
      <w:r>
        <w:t xml:space="preserve">:</w:t>
      </w:r>
      <w:r>
        <w:t xml:space="preserve"> </w:t>
      </w:r>
      <w:r>
        <w:rPr>
          <w:rStyle w:val="VerbatimChar"/>
        </w:rPr>
        <w:t xml:space="preserve">FB2-ASM-007</w:t>
      </w:r>
    </w:p>
    <w:bookmarkEnd w:id="32"/>
    <w:bookmarkStart w:id="33" w:name="Xbc70feb0eb1681c6e275f2a7ab056cdc01456d5"/>
    <w:p>
      <w:pPr>
        <w:pStyle w:val="Heading4"/>
      </w:pPr>
      <w:r>
        <w:rPr>
          <w:rStyle w:val="VerbatimChar"/>
        </w:rPr>
        <w:t xml:space="preserve">FB2-HW-TSR-000002</w:t>
      </w:r>
      <w:r>
        <w:t xml:space="preserve"> </w:t>
      </w:r>
      <w:r>
        <w:t xml:space="preserve">— TSR: AFE isoSPI Communication Integrity</w:t>
      </w:r>
    </w:p>
    <w:p>
      <w:pPr>
        <w:pStyle w:val="Compact"/>
        <w:numPr>
          <w:ilvl w:val="0"/>
          <w:numId w:val="1015"/>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FB2-LNK-SAF-000006</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15"/>
        </w:numPr>
      </w:pPr>
      <w:r>
        <w:rPr>
          <w:b/>
          <w:bCs/>
        </w:rPr>
        <w:t xml:space="preserve">Statement</w:t>
      </w:r>
      <w:r>
        <w:t xml:space="preserve">: The isoSPI interface shall provide communication with BER &lt; 10^-9 and detect communication failures within 5 ms.</w:t>
      </w:r>
    </w:p>
    <w:p>
      <w:pPr>
        <w:pStyle w:val="Compact"/>
        <w:numPr>
          <w:ilvl w:val="0"/>
          <w:numId w:val="1015"/>
        </w:numPr>
      </w:pPr>
      <w:r>
        <w:rPr>
          <w:b/>
          <w:bCs/>
        </w:rPr>
        <w:t xml:space="preserve">Rationale</w:t>
      </w:r>
      <w:r>
        <w:t xml:space="preserve">: Communication failures must be detected within FTTI budget for AFE data</w:t>
      </w:r>
    </w:p>
    <w:p>
      <w:pPr>
        <w:pStyle w:val="Compact"/>
        <w:numPr>
          <w:ilvl w:val="0"/>
          <w:numId w:val="1015"/>
        </w:numPr>
      </w:pPr>
      <w:r>
        <w:rPr>
          <w:b/>
          <w:bCs/>
        </w:rPr>
        <w:t xml:space="preserve">Classification</w:t>
      </w:r>
      <w:r>
        <w:t xml:space="preserve">:</w:t>
      </w:r>
      <w:r>
        <w:t xml:space="preserve"> </w:t>
      </w:r>
      <w:r>
        <w:rPr>
          <w:rStyle w:val="VerbatimChar"/>
        </w:rPr>
        <w:t xml:space="preserve">safety</w:t>
      </w:r>
    </w:p>
    <w:p>
      <w:pPr>
        <w:pStyle w:val="Compact"/>
        <w:numPr>
          <w:ilvl w:val="0"/>
          <w:numId w:val="1015"/>
        </w:numPr>
      </w:pPr>
      <w:r>
        <w:rPr>
          <w:b/>
          <w:bCs/>
        </w:rPr>
        <w:t xml:space="preserve">ASIL</w:t>
      </w:r>
      <w:r>
        <w:t xml:space="preserve">:</w:t>
      </w:r>
      <w:r>
        <w:t xml:space="preserve"> </w:t>
      </w:r>
      <w:r>
        <w:rPr>
          <w:rStyle w:val="VerbatimChar"/>
        </w:rPr>
        <w:t xml:space="preserve">ASIL_D</w:t>
      </w:r>
    </w:p>
    <w:p>
      <w:pPr>
        <w:pStyle w:val="Compact"/>
        <w:numPr>
          <w:ilvl w:val="0"/>
          <w:numId w:val="1015"/>
        </w:numPr>
      </w:pPr>
      <w:r>
        <w:rPr>
          <w:b/>
          <w:bCs/>
        </w:rPr>
        <w:t xml:space="preserve">Acceptance criteria</w:t>
      </w:r>
      <w:r>
        <w:t xml:space="preserve">:</w:t>
      </w:r>
    </w:p>
    <w:p>
      <w:pPr>
        <w:pStyle w:val="Compact"/>
        <w:numPr>
          <w:ilvl w:val="1"/>
          <w:numId w:val="1016"/>
        </w:numPr>
      </w:pPr>
      <w:r>
        <w:t xml:space="preserve">Bit error rate: BER under EMC conditions ≤ 1E-9 errors/bit</w:t>
      </w:r>
    </w:p>
    <w:p>
      <w:pPr>
        <w:pStyle w:val="Compact"/>
        <w:numPr>
          <w:ilvl w:val="1"/>
          <w:numId w:val="1016"/>
        </w:numPr>
      </w:pPr>
      <w:r>
        <w:t xml:space="preserve">Failure detection time: Time from communication loss to SW notification ≤ 5 ms</w:t>
      </w:r>
    </w:p>
    <w:p>
      <w:pPr>
        <w:pStyle w:val="Compact"/>
        <w:numPr>
          <w:ilvl w:val="1"/>
          <w:numId w:val="1016"/>
        </w:numPr>
      </w:pPr>
      <w:r>
        <w:t xml:space="preserve">CRC coverage: CRC polynomial coverage ≤ 100% %</w:t>
      </w:r>
    </w:p>
    <w:p>
      <w:pPr>
        <w:pStyle w:val="Compact"/>
        <w:numPr>
          <w:ilvl w:val="0"/>
          <w:numId w:val="1015"/>
        </w:numPr>
      </w:pPr>
      <w:r>
        <w:rPr>
          <w:b/>
          <w:bCs/>
        </w:rPr>
        <w:t xml:space="preserve">Source references</w:t>
      </w:r>
      <w:r>
        <w:t xml:space="preserve">:</w:t>
      </w:r>
      <w:r>
        <w:t xml:space="preserve"> </w:t>
      </w:r>
      <w:r>
        <w:rPr>
          <w:rStyle w:val="VerbatimChar"/>
        </w:rPr>
        <w:t xml:space="preserve">FB2-SRC-HW-000003</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15"/>
        </w:numPr>
      </w:pPr>
      <w:r>
        <w:rPr>
          <w:b/>
          <w:bCs/>
        </w:rPr>
        <w:t xml:space="preserve">Assumption references</w:t>
      </w:r>
      <w:r>
        <w:t xml:space="preserve">:</w:t>
      </w:r>
      <w:r>
        <w:t xml:space="preserve"> </w:t>
      </w:r>
      <w:r>
        <w:rPr>
          <w:rStyle w:val="VerbatimChar"/>
        </w:rPr>
        <w:t xml:space="preserve">FB2-ASM-008</w:t>
      </w:r>
    </w:p>
    <w:bookmarkEnd w:id="33"/>
    <w:bookmarkStart w:id="34" w:name="Xcc999876cd39e96bf21d12864f25ede8a276e25"/>
    <w:p>
      <w:pPr>
        <w:pStyle w:val="Heading4"/>
      </w:pPr>
      <w:r>
        <w:rPr>
          <w:rStyle w:val="VerbatimChar"/>
        </w:rPr>
        <w:t xml:space="preserve">FB2-SW-SWR-000001</w:t>
      </w:r>
      <w:r>
        <w:t xml:space="preserve"> </w:t>
      </w:r>
      <w:r>
        <w:t xml:space="preserve">— SWR: AFE Driver - Cell Voltage Acquisition</w:t>
      </w:r>
    </w:p>
    <w:p>
      <w:pPr>
        <w:pStyle w:val="Compact"/>
        <w:numPr>
          <w:ilvl w:val="0"/>
          <w:numId w:val="1017"/>
        </w:numPr>
      </w:pPr>
      <w:r>
        <w:rPr>
          <w:b/>
          <w:bCs/>
        </w:rPr>
        <w:t xml:space="preserve">Allocated to</w:t>
      </w:r>
      <w:r>
        <w:t xml:space="preserve">:</w:t>
      </w:r>
      <w:r>
        <w:t xml:space="preserve"> </w:t>
      </w:r>
      <w:r>
        <w:rPr>
          <w:rStyle w:val="VerbatimChar"/>
        </w:rPr>
        <w:t xml:space="preserve">FB2-SAF-FSR-000001</w:t>
      </w:r>
      <w:r>
        <w:t xml:space="preserve"> </w:t>
      </w:r>
      <w:r>
        <w:t xml:space="preserve">(link</w:t>
      </w:r>
      <w:r>
        <w:t xml:space="preserve"> </w:t>
      </w:r>
      <w:r>
        <w:rPr>
          <w:rStyle w:val="VerbatimChar"/>
        </w:rPr>
        <w:t xml:space="preserve">FB2-LNK-SAF-000008</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17"/>
        </w:numPr>
      </w:pPr>
      <w:r>
        <w:rPr>
          <w:b/>
          <w:bCs/>
        </w:rPr>
        <w:t xml:space="preserve">Statement</w:t>
      </w:r>
      <w:r>
        <w:t xml:space="preserve">: The AFE driver shall trigger SPI/DMA acquisition of all cell voltages at 20 Hz, validate PEC/CRC, and publish to database within 5 ms of acquisition complete.</w:t>
      </w:r>
    </w:p>
    <w:p>
      <w:pPr>
        <w:pStyle w:val="Compact"/>
        <w:numPr>
          <w:ilvl w:val="0"/>
          <w:numId w:val="1017"/>
        </w:numPr>
      </w:pPr>
      <w:r>
        <w:rPr>
          <w:b/>
          <w:bCs/>
        </w:rPr>
        <w:t xml:space="preserve">Rationale</w:t>
      </w:r>
      <w:r>
        <w:t xml:space="preserve">: Software must acquire and validate AFE data within FTTI budget</w:t>
      </w:r>
    </w:p>
    <w:p>
      <w:pPr>
        <w:pStyle w:val="Compact"/>
        <w:numPr>
          <w:ilvl w:val="0"/>
          <w:numId w:val="1017"/>
        </w:numPr>
      </w:pPr>
      <w:r>
        <w:rPr>
          <w:b/>
          <w:bCs/>
        </w:rPr>
        <w:t xml:space="preserve">Classification</w:t>
      </w:r>
      <w:r>
        <w:t xml:space="preserve">:</w:t>
      </w:r>
      <w:r>
        <w:t xml:space="preserve"> </w:t>
      </w:r>
      <w:r>
        <w:rPr>
          <w:rStyle w:val="VerbatimChar"/>
        </w:rPr>
        <w:t xml:space="preserve">safety</w:t>
      </w:r>
    </w:p>
    <w:p>
      <w:pPr>
        <w:pStyle w:val="Compact"/>
        <w:numPr>
          <w:ilvl w:val="0"/>
          <w:numId w:val="1017"/>
        </w:numPr>
      </w:pPr>
      <w:r>
        <w:rPr>
          <w:b/>
          <w:bCs/>
        </w:rPr>
        <w:t xml:space="preserve">ASIL</w:t>
      </w:r>
      <w:r>
        <w:t xml:space="preserve">:</w:t>
      </w:r>
      <w:r>
        <w:t xml:space="preserve"> </w:t>
      </w:r>
      <w:r>
        <w:rPr>
          <w:rStyle w:val="VerbatimChar"/>
        </w:rPr>
        <w:t xml:space="preserve">ASIL_D</w:t>
      </w:r>
    </w:p>
    <w:p>
      <w:pPr>
        <w:pStyle w:val="Compact"/>
        <w:numPr>
          <w:ilvl w:val="0"/>
          <w:numId w:val="1017"/>
        </w:numPr>
      </w:pPr>
      <w:r>
        <w:rPr>
          <w:b/>
          <w:bCs/>
        </w:rPr>
        <w:t xml:space="preserve">Acceptance criteria</w:t>
      </w:r>
      <w:r>
        <w:t xml:space="preserve">:</w:t>
      </w:r>
    </w:p>
    <w:p>
      <w:pPr>
        <w:pStyle w:val="Compact"/>
        <w:numPr>
          <w:ilvl w:val="1"/>
          <w:numId w:val="1018"/>
        </w:numPr>
      </w:pPr>
      <w:r>
        <w:t xml:space="preserve">Acquisition period: Timer period ≤ 50 ms</w:t>
      </w:r>
    </w:p>
    <w:p>
      <w:pPr>
        <w:pStyle w:val="Compact"/>
        <w:numPr>
          <w:ilvl w:val="1"/>
          <w:numId w:val="1018"/>
        </w:numPr>
      </w:pPr>
      <w:r>
        <w:t xml:space="preserve">PEC/CRC validation: Error detection before database write ≤ 100% %</w:t>
      </w:r>
    </w:p>
    <w:p>
      <w:pPr>
        <w:pStyle w:val="Compact"/>
        <w:numPr>
          <w:ilvl w:val="1"/>
          <w:numId w:val="1018"/>
        </w:numPr>
      </w:pPr>
      <w:r>
        <w:t xml:space="preserve">Database publish latency: Time from SPI complete to database write ≤ 25 ms</w:t>
      </w:r>
    </w:p>
    <w:p>
      <w:pPr>
        <w:pStyle w:val="Compact"/>
        <w:numPr>
          <w:ilvl w:val="0"/>
          <w:numId w:val="1017"/>
        </w:numPr>
      </w:pPr>
      <w:r>
        <w:rPr>
          <w:b/>
          <w:bCs/>
        </w:rPr>
        <w:t xml:space="preserve">Source references</w:t>
      </w:r>
      <w:r>
        <w:t xml:space="preserve">:</w:t>
      </w:r>
      <w:r>
        <w:t xml:space="preserve"> </w:t>
      </w:r>
      <w:r>
        <w:rPr>
          <w:rStyle w:val="VerbatimChar"/>
        </w:rPr>
        <w:t xml:space="preserve">FB2-SRC-COD-000001</w:t>
      </w:r>
      <w:r>
        <w:t xml:space="preserve">,</w:t>
      </w:r>
      <w:r>
        <w:t xml:space="preserve"> </w:t>
      </w:r>
      <w:r>
        <w:rPr>
          <w:rStyle w:val="VerbatimChar"/>
        </w:rPr>
        <w:t xml:space="preserve">FB2-SRC-COD-000002</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17"/>
        </w:numPr>
      </w:pPr>
      <w:r>
        <w:rPr>
          <w:b/>
          <w:bCs/>
        </w:rPr>
        <w:t xml:space="preserve">Assumption references</w:t>
      </w:r>
      <w:r>
        <w:t xml:space="preserve">:</w:t>
      </w:r>
      <w:r>
        <w:t xml:space="preserve"> </w:t>
      </w:r>
      <w:r>
        <w:rPr>
          <w:rStyle w:val="VerbatimChar"/>
        </w:rPr>
        <w:t xml:space="preserve">FB2-ASM-010</w:t>
      </w:r>
    </w:p>
    <w:bookmarkEnd w:id="34"/>
    <w:bookmarkEnd w:id="35"/>
    <w:bookmarkStart w:id="37" w:name="parent-fsr-fb2-saf-fsr-000002-1"/>
    <w:p>
      <w:pPr>
        <w:pStyle w:val="Heading3"/>
      </w:pPr>
      <w:r>
        <w:t xml:space="preserve">Parent FSR:</w:t>
      </w:r>
      <w:r>
        <w:t xml:space="preserve"> </w:t>
      </w:r>
      <w:r>
        <w:rPr>
          <w:rStyle w:val="VerbatimChar"/>
        </w:rPr>
        <w:t xml:space="preserve">FB2-SAF-FSR-000002</w:t>
      </w:r>
    </w:p>
    <w:bookmarkStart w:id="36" w:name="Xf81c887a44912b68bdef6c94decbd98a3cc54d0"/>
    <w:p>
      <w:pPr>
        <w:pStyle w:val="Heading4"/>
      </w:pPr>
      <w:r>
        <w:rPr>
          <w:rStyle w:val="VerbatimChar"/>
        </w:rPr>
        <w:t xml:space="preserve">FB2-SW-SWR-000002</w:t>
      </w:r>
      <w:r>
        <w:t xml:space="preserve"> </w:t>
      </w:r>
      <w:r>
        <w:t xml:space="preserve">— SWR: SOA Voltage Limit Monitoring</w:t>
      </w:r>
    </w:p>
    <w:p>
      <w:pPr>
        <w:pStyle w:val="Compact"/>
        <w:numPr>
          <w:ilvl w:val="0"/>
          <w:numId w:val="1019"/>
        </w:numPr>
      </w:pPr>
      <w:r>
        <w:rPr>
          <w:b/>
          <w:bCs/>
        </w:rPr>
        <w:t xml:space="preserve">Allocated to</w:t>
      </w:r>
      <w:r>
        <w:t xml:space="preserve">:</w:t>
      </w:r>
      <w:r>
        <w:t xml:space="preserve"> </w:t>
      </w:r>
      <w:r>
        <w:rPr>
          <w:rStyle w:val="VerbatimChar"/>
        </w:rPr>
        <w:t xml:space="preserve">FB2-SAF-FSR-000002</w:t>
      </w:r>
      <w:r>
        <w:t xml:space="preserve"> </w:t>
      </w:r>
      <w:r>
        <w:t xml:space="preserve">(link</w:t>
      </w:r>
      <w:r>
        <w:t xml:space="preserve"> </w:t>
      </w:r>
      <w:r>
        <w:rPr>
          <w:rStyle w:val="VerbatimChar"/>
        </w:rPr>
        <w:t xml:space="preserve">FB2-LNK-SAF-000009</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19"/>
        </w:numPr>
      </w:pPr>
      <w:r>
        <w:rPr>
          <w:b/>
          <w:bCs/>
        </w:rPr>
        <w:t xml:space="preserve">Statement</w:t>
      </w:r>
      <w:r>
        <w:t xml:space="preserve">: The SOA module shall read cell voltages from database and compare against configured minimum (2.5V) and maximum (4.2V) limits with a debounce of 2 consecutive violations within 100 ms, and classify violations within 5 ms of data availability, triggering FAULT state request on confirmed violation.</w:t>
      </w:r>
    </w:p>
    <w:p>
      <w:pPr>
        <w:pStyle w:val="Compact"/>
        <w:numPr>
          <w:ilvl w:val="0"/>
          <w:numId w:val="1019"/>
        </w:numPr>
      </w:pPr>
      <w:r>
        <w:rPr>
          <w:b/>
          <w:bCs/>
        </w:rPr>
        <w:t xml:space="preserve">Rationale</w:t>
      </w:r>
      <w:r>
        <w:t xml:space="preserve">: SOA monitoring must detect limit violations fast enough to meet FTTI. Debounce of 2 violations in 100 ms balances false positives vs detection latency (statistical analysis shows &lt; 1e-6 false positive rate for Gaussian noise sigma=5mV).</w:t>
      </w:r>
    </w:p>
    <w:p>
      <w:pPr>
        <w:pStyle w:val="Compact"/>
        <w:numPr>
          <w:ilvl w:val="0"/>
          <w:numId w:val="1019"/>
        </w:numPr>
      </w:pPr>
      <w:r>
        <w:rPr>
          <w:b/>
          <w:bCs/>
        </w:rPr>
        <w:t xml:space="preserve">Classification</w:t>
      </w:r>
      <w:r>
        <w:t xml:space="preserve">:</w:t>
      </w:r>
      <w:r>
        <w:t xml:space="preserve"> </w:t>
      </w:r>
      <w:r>
        <w:rPr>
          <w:rStyle w:val="VerbatimChar"/>
        </w:rPr>
        <w:t xml:space="preserve">safety</w:t>
      </w:r>
    </w:p>
    <w:p>
      <w:pPr>
        <w:pStyle w:val="Compact"/>
        <w:numPr>
          <w:ilvl w:val="0"/>
          <w:numId w:val="1019"/>
        </w:numPr>
      </w:pPr>
      <w:r>
        <w:rPr>
          <w:b/>
          <w:bCs/>
        </w:rPr>
        <w:t xml:space="preserve">ASIL</w:t>
      </w:r>
      <w:r>
        <w:t xml:space="preserve">:</w:t>
      </w:r>
      <w:r>
        <w:t xml:space="preserve"> </w:t>
      </w:r>
      <w:r>
        <w:rPr>
          <w:rStyle w:val="VerbatimChar"/>
        </w:rPr>
        <w:t xml:space="preserve">ASIL_D</w:t>
      </w:r>
    </w:p>
    <w:p>
      <w:pPr>
        <w:pStyle w:val="Compact"/>
        <w:numPr>
          <w:ilvl w:val="0"/>
          <w:numId w:val="1019"/>
        </w:numPr>
      </w:pPr>
      <w:r>
        <w:rPr>
          <w:b/>
          <w:bCs/>
        </w:rPr>
        <w:t xml:space="preserve">Acceptance criteria</w:t>
      </w:r>
      <w:r>
        <w:t xml:space="preserve">:</w:t>
      </w:r>
    </w:p>
    <w:p>
      <w:pPr>
        <w:pStyle w:val="Compact"/>
        <w:numPr>
          <w:ilvl w:val="1"/>
          <w:numId w:val="1020"/>
        </w:numPr>
      </w:pPr>
      <w:r>
        <w:t xml:space="preserve">Limit check latency: Time from database read to violation classification ≤ 5 ms</w:t>
      </w:r>
    </w:p>
    <w:p>
      <w:pPr>
        <w:pStyle w:val="Compact"/>
        <w:numPr>
          <w:ilvl w:val="1"/>
          <w:numId w:val="1020"/>
        </w:numPr>
      </w:pPr>
      <w:r>
        <w:t xml:space="preserve">Limit accuracy: Threshold comparison accuracy ≤ 1 mV</w:t>
      </w:r>
    </w:p>
    <w:p>
      <w:pPr>
        <w:pStyle w:val="Compact"/>
        <w:numPr>
          <w:ilvl w:val="1"/>
          <w:numId w:val="1020"/>
        </w:numPr>
      </w:pPr>
      <w:r>
        <w:t xml:space="preserve">Debounce filtering: False positive rate (Gaussian noise, sigma=5mV) ≤ 1E-6 events/hour</w:t>
      </w:r>
    </w:p>
    <w:p>
      <w:pPr>
        <w:pStyle w:val="Compact"/>
        <w:numPr>
          <w:ilvl w:val="1"/>
          <w:numId w:val="1020"/>
        </w:numPr>
      </w:pPr>
      <w:r>
        <w:t xml:space="preserve">FAULT request latency: Time from confirmed violation to SYS fault request ≤ 2 ms</w:t>
      </w:r>
    </w:p>
    <w:p>
      <w:pPr>
        <w:pStyle w:val="Compact"/>
        <w:numPr>
          <w:ilvl w:val="0"/>
          <w:numId w:val="1019"/>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FB2-SRC-COD-000005</w:t>
      </w:r>
      <w:r>
        <w:t xml:space="preserve">,</w:t>
      </w:r>
      <w:r>
        <w:t xml:space="preserve"> </w:t>
      </w:r>
      <w:r>
        <w:rPr>
          <w:rStyle w:val="VerbatimChar"/>
        </w:rPr>
        <w:t xml:space="preserve">FB2-SRC-COD-000006</w:t>
      </w:r>
    </w:p>
    <w:p>
      <w:pPr>
        <w:pStyle w:val="Compact"/>
        <w:numPr>
          <w:ilvl w:val="0"/>
          <w:numId w:val="1019"/>
        </w:numPr>
      </w:pPr>
      <w:r>
        <w:rPr>
          <w:b/>
          <w:bCs/>
        </w:rPr>
        <w:t xml:space="preserve">Assumption references</w:t>
      </w:r>
      <w:r>
        <w:t xml:space="preserve">:</w:t>
      </w:r>
      <w:r>
        <w:t xml:space="preserve"> </w:t>
      </w:r>
      <w:r>
        <w:rPr>
          <w:rStyle w:val="VerbatimChar"/>
        </w:rPr>
        <w:t xml:space="preserve">FB2-ASM-001</w:t>
      </w:r>
      <w:r>
        <w:t xml:space="preserve">,</w:t>
      </w:r>
      <w:r>
        <w:t xml:space="preserve"> </w:t>
      </w:r>
      <w:r>
        <w:rPr>
          <w:rStyle w:val="VerbatimChar"/>
        </w:rPr>
        <w:t xml:space="preserve">FB2-ASM-005</w:t>
      </w:r>
      <w:r>
        <w:t xml:space="preserve">,</w:t>
      </w:r>
      <w:r>
        <w:t xml:space="preserve"> </w:t>
      </w:r>
      <w:r>
        <w:rPr>
          <w:rStyle w:val="VerbatimChar"/>
        </w:rPr>
        <w:t xml:space="preserve">FB2-ASM-006</w:t>
      </w:r>
    </w:p>
    <w:bookmarkEnd w:id="36"/>
    <w:bookmarkEnd w:id="37"/>
    <w:bookmarkStart w:id="40" w:name="parent-fsr-fb2-saf-fsr-000003-1"/>
    <w:p>
      <w:pPr>
        <w:pStyle w:val="Heading3"/>
      </w:pPr>
      <w:r>
        <w:t xml:space="preserve">Parent FSR:</w:t>
      </w:r>
      <w:r>
        <w:t xml:space="preserve"> </w:t>
      </w:r>
      <w:r>
        <w:rPr>
          <w:rStyle w:val="VerbatimChar"/>
        </w:rPr>
        <w:t xml:space="preserve">FB2-SAF-FSR-000003</w:t>
      </w:r>
    </w:p>
    <w:bookmarkStart w:id="38" w:name="Xa2b1213ed28311afe05a39c97fbf4594296e28b"/>
    <w:p>
      <w:pPr>
        <w:pStyle w:val="Heading4"/>
      </w:pPr>
      <w:r>
        <w:rPr>
          <w:rStyle w:val="VerbatimChar"/>
        </w:rPr>
        <w:t xml:space="preserve">FB2-HW-TSR-000003</w:t>
      </w:r>
      <w:r>
        <w:t xml:space="preserve"> </w:t>
      </w:r>
      <w:r>
        <w:t xml:space="preserve">— TSR: Contactor Driver and Feedback</w:t>
      </w:r>
    </w:p>
    <w:p>
      <w:pPr>
        <w:pStyle w:val="Compact"/>
        <w:numPr>
          <w:ilvl w:val="0"/>
          <w:numId w:val="1021"/>
        </w:numPr>
      </w:pPr>
      <w:r>
        <w:rPr>
          <w:b/>
          <w:bCs/>
        </w:rPr>
        <w:t xml:space="preserve">Allocated to</w:t>
      </w:r>
      <w:r>
        <w:t xml:space="preserve">:</w:t>
      </w:r>
      <w:r>
        <w:t xml:space="preserve"> </w:t>
      </w:r>
      <w:r>
        <w:rPr>
          <w:rStyle w:val="VerbatimChar"/>
        </w:rPr>
        <w:t xml:space="preserve">FB2-SAF-FSR-000003</w:t>
      </w:r>
      <w:r>
        <w:t xml:space="preserve"> </w:t>
      </w:r>
      <w:r>
        <w:t xml:space="preserve">(link</w:t>
      </w:r>
      <w:r>
        <w:t xml:space="preserve"> </w:t>
      </w:r>
      <w:r>
        <w:rPr>
          <w:rStyle w:val="VerbatimChar"/>
        </w:rPr>
        <w:t xml:space="preserve">FB2-LNK-SAF-000007</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21"/>
        </w:numPr>
      </w:pPr>
      <w:r>
        <w:rPr>
          <w:b/>
          <w:bCs/>
        </w:rPr>
        <w:t xml:space="preserve">Statement</w:t>
      </w:r>
      <w:r>
        <w:t xml:space="preserve">: The SBC (FS85xx) shall drive contactor coils with controlled slew rate and monitor auxiliary feedback contacts with &lt; 2 ms latency.</w:t>
      </w:r>
    </w:p>
    <w:p>
      <w:pPr>
        <w:pStyle w:val="Compact"/>
        <w:numPr>
          <w:ilvl w:val="0"/>
          <w:numId w:val="1021"/>
        </w:numPr>
      </w:pPr>
      <w:r>
        <w:rPr>
          <w:b/>
          <w:bCs/>
        </w:rPr>
        <w:t xml:space="preserve">Rationale</w:t>
      </w:r>
      <w:r>
        <w:t xml:space="preserve">: Contactor control and feedback monitoring must meet FSR-003 30 ms latency budget</w:t>
      </w:r>
    </w:p>
    <w:p>
      <w:pPr>
        <w:pStyle w:val="Compact"/>
        <w:numPr>
          <w:ilvl w:val="0"/>
          <w:numId w:val="1021"/>
        </w:numPr>
      </w:pPr>
      <w:r>
        <w:rPr>
          <w:b/>
          <w:bCs/>
        </w:rPr>
        <w:t xml:space="preserve">Classification</w:t>
      </w:r>
      <w:r>
        <w:t xml:space="preserve">:</w:t>
      </w:r>
      <w:r>
        <w:t xml:space="preserve"> </w:t>
      </w:r>
      <w:r>
        <w:rPr>
          <w:rStyle w:val="VerbatimChar"/>
        </w:rPr>
        <w:t xml:space="preserve">safety</w:t>
      </w:r>
    </w:p>
    <w:p>
      <w:pPr>
        <w:pStyle w:val="Compact"/>
        <w:numPr>
          <w:ilvl w:val="0"/>
          <w:numId w:val="1021"/>
        </w:numPr>
      </w:pPr>
      <w:r>
        <w:rPr>
          <w:b/>
          <w:bCs/>
        </w:rPr>
        <w:t xml:space="preserve">ASIL</w:t>
      </w:r>
      <w:r>
        <w:t xml:space="preserve">:</w:t>
      </w:r>
      <w:r>
        <w:t xml:space="preserve"> </w:t>
      </w:r>
      <w:r>
        <w:rPr>
          <w:rStyle w:val="VerbatimChar"/>
        </w:rPr>
        <w:t xml:space="preserve">ASIL_D</w:t>
      </w:r>
    </w:p>
    <w:p>
      <w:pPr>
        <w:pStyle w:val="Compact"/>
        <w:numPr>
          <w:ilvl w:val="0"/>
          <w:numId w:val="1021"/>
        </w:numPr>
      </w:pPr>
      <w:r>
        <w:rPr>
          <w:b/>
          <w:bCs/>
        </w:rPr>
        <w:t xml:space="preserve">Acceptance criteria</w:t>
      </w:r>
      <w:r>
        <w:t xml:space="preserve">:</w:t>
      </w:r>
    </w:p>
    <w:p>
      <w:pPr>
        <w:pStyle w:val="Compact"/>
        <w:numPr>
          <w:ilvl w:val="1"/>
          <w:numId w:val="1022"/>
        </w:numPr>
      </w:pPr>
      <w:r>
        <w:t xml:space="preserve">Coil drive slew rate: dV/dt at coil terminals ≤ 50 V/ms</w:t>
      </w:r>
    </w:p>
    <w:p>
      <w:pPr>
        <w:pStyle w:val="Compact"/>
        <w:numPr>
          <w:ilvl w:val="1"/>
          <w:numId w:val="1022"/>
        </w:numPr>
      </w:pPr>
      <w:r>
        <w:t xml:space="preserve">Feedback latency: Time from contactor state change to SW notification ≤ 2 ms</w:t>
      </w:r>
    </w:p>
    <w:p>
      <w:pPr>
        <w:pStyle w:val="Compact"/>
        <w:numPr>
          <w:ilvl w:val="1"/>
          <w:numId w:val="1022"/>
        </w:numPr>
      </w:pPr>
      <w:r>
        <w:t xml:space="preserve">Weld detection: Feedback mismatch detection time ≤ 100 ms</w:t>
      </w:r>
    </w:p>
    <w:p>
      <w:pPr>
        <w:pStyle w:val="Compact"/>
        <w:numPr>
          <w:ilvl w:val="0"/>
          <w:numId w:val="1021"/>
        </w:numPr>
      </w:pPr>
      <w:r>
        <w:rPr>
          <w:b/>
          <w:bCs/>
        </w:rPr>
        <w:t xml:space="preserve">Source references</w:t>
      </w:r>
      <w:r>
        <w:t xml:space="preserve">:</w:t>
      </w:r>
      <w:r>
        <w:t xml:space="preserve"> </w:t>
      </w:r>
      <w:r>
        <w:rPr>
          <w:rStyle w:val="VerbatimChar"/>
        </w:rPr>
        <w:t xml:space="preserve">FB2-SRC-HW-000001</w:t>
      </w:r>
      <w:r>
        <w:t xml:space="preserve">,</w:t>
      </w:r>
      <w:r>
        <w:t xml:space="preserve"> </w:t>
      </w:r>
      <w:r>
        <w:rPr>
          <w:rStyle w:val="VerbatimChar"/>
        </w:rPr>
        <w:t xml:space="preserve">FB2-SRC-COD-000007</w:t>
      </w:r>
      <w:r>
        <w:t xml:space="preserve">,</w:t>
      </w:r>
      <w:r>
        <w:t xml:space="preserve"> </w:t>
      </w:r>
      <w:r>
        <w:rPr>
          <w:rStyle w:val="VerbatimChar"/>
        </w:rPr>
        <w:t xml:space="preserve">FB2-SRC-COD-000008</w:t>
      </w:r>
      <w:r>
        <w:t xml:space="preserve">,</w:t>
      </w:r>
      <w:r>
        <w:t xml:space="preserve"> </w:t>
      </w:r>
      <w:r>
        <w:rPr>
          <w:rStyle w:val="VerbatimChar"/>
        </w:rPr>
        <w:t xml:space="preserve">FB2-SRC-COD-000027</w:t>
      </w:r>
    </w:p>
    <w:p>
      <w:pPr>
        <w:pStyle w:val="Compact"/>
        <w:numPr>
          <w:ilvl w:val="0"/>
          <w:numId w:val="1021"/>
        </w:numPr>
      </w:pPr>
      <w:r>
        <w:rPr>
          <w:b/>
          <w:bCs/>
        </w:rPr>
        <w:t xml:space="preserve">Assumption references</w:t>
      </w:r>
      <w:r>
        <w:t xml:space="preserve">:</w:t>
      </w:r>
      <w:r>
        <w:t xml:space="preserve"> </w:t>
      </w:r>
      <w:r>
        <w:rPr>
          <w:rStyle w:val="VerbatimChar"/>
        </w:rPr>
        <w:t xml:space="preserve">FB2-ASM-009</w:t>
      </w:r>
    </w:p>
    <w:bookmarkEnd w:id="38"/>
    <w:bookmarkStart w:id="39" w:name="X40ca07af6c195e3ccd5e76efc375660f636d2b7"/>
    <w:p>
      <w:pPr>
        <w:pStyle w:val="Heading4"/>
      </w:pPr>
      <w:r>
        <w:rPr>
          <w:rStyle w:val="VerbatimChar"/>
        </w:rPr>
        <w:t xml:space="preserve">FB2-SW-SWR-000003</w:t>
      </w:r>
      <w:r>
        <w:t xml:space="preserve"> </w:t>
      </w:r>
      <w:r>
        <w:t xml:space="preserve">— SWR: Contactor State Machine and Fault Response</w:t>
      </w:r>
    </w:p>
    <w:p>
      <w:pPr>
        <w:pStyle w:val="Compact"/>
        <w:numPr>
          <w:ilvl w:val="0"/>
          <w:numId w:val="1023"/>
        </w:numPr>
      </w:pPr>
      <w:r>
        <w:rPr>
          <w:b/>
          <w:bCs/>
        </w:rPr>
        <w:t xml:space="preserve">Allocated to</w:t>
      </w:r>
      <w:r>
        <w:t xml:space="preserve">:</w:t>
      </w:r>
      <w:r>
        <w:t xml:space="preserve"> </w:t>
      </w:r>
      <w:r>
        <w:rPr>
          <w:rStyle w:val="VerbatimChar"/>
        </w:rPr>
        <w:t xml:space="preserve">FB2-SAF-FSR-000003</w:t>
      </w:r>
      <w:r>
        <w:t xml:space="preserve"> </w:t>
      </w:r>
      <w:r>
        <w:t xml:space="preserve">(link</w:t>
      </w:r>
      <w:r>
        <w:t xml:space="preserve"> </w:t>
      </w:r>
      <w:r>
        <w:rPr>
          <w:rStyle w:val="VerbatimChar"/>
        </w:rPr>
        <w:t xml:space="preserve">FB2-LNK-SAF-000010</w:t>
      </w:r>
      <w:r>
        <w:t xml:space="preserve">, rationale:</w:t>
      </w:r>
      <w:r>
        <w:t xml:space="preserve"> </w:t>
      </w:r>
      <w:r>
        <w:t xml:space="preserve">“</w:t>
      </w:r>
      <w:r>
        <w:t xml:space="preserve">Software requirement allocated from functional safety requirement</w:t>
      </w:r>
      <w:r>
        <w:t xml:space="preserve">”</w:t>
      </w:r>
      <w:r>
        <w:t xml:space="preserve">)</w:t>
      </w:r>
    </w:p>
    <w:p>
      <w:pPr>
        <w:pStyle w:val="Compact"/>
        <w:numPr>
          <w:ilvl w:val="0"/>
          <w:numId w:val="1023"/>
        </w:numPr>
      </w:pPr>
      <w:r>
        <w:rPr>
          <w:b/>
          <w:bCs/>
        </w:rPr>
        <w:t xml:space="preserve">Statement</w:t>
      </w:r>
      <w:r>
        <w:t xml:space="preserve">: The contactor driver shall execute state machine (OPEN -&gt; PRECHARGE -&gt; CLOSE -&gt; HOLD) and open contactors within 5 ms of FAULT state request from SOA/DIAG.</w:t>
      </w:r>
    </w:p>
    <w:p>
      <w:pPr>
        <w:pStyle w:val="Compact"/>
        <w:numPr>
          <w:ilvl w:val="0"/>
          <w:numId w:val="1023"/>
        </w:numPr>
      </w:pPr>
      <w:r>
        <w:rPr>
          <w:b/>
          <w:bCs/>
        </w:rPr>
        <w:t xml:space="preserve">Rationale</w:t>
      </w:r>
      <w:r>
        <w:t xml:space="preserve">: Contactor software must respond to SOA violations within FTTI budget</w:t>
      </w:r>
    </w:p>
    <w:p>
      <w:pPr>
        <w:pStyle w:val="Compact"/>
        <w:numPr>
          <w:ilvl w:val="0"/>
          <w:numId w:val="1023"/>
        </w:numPr>
      </w:pPr>
      <w:r>
        <w:rPr>
          <w:b/>
          <w:bCs/>
        </w:rPr>
        <w:t xml:space="preserve">Classification</w:t>
      </w:r>
      <w:r>
        <w:t xml:space="preserve">:</w:t>
      </w:r>
      <w:r>
        <w:t xml:space="preserve"> </w:t>
      </w:r>
      <w:r>
        <w:rPr>
          <w:rStyle w:val="VerbatimChar"/>
        </w:rPr>
        <w:t xml:space="preserve">safety</w:t>
      </w:r>
    </w:p>
    <w:p>
      <w:pPr>
        <w:pStyle w:val="Compact"/>
        <w:numPr>
          <w:ilvl w:val="0"/>
          <w:numId w:val="1023"/>
        </w:numPr>
      </w:pPr>
      <w:r>
        <w:rPr>
          <w:b/>
          <w:bCs/>
        </w:rPr>
        <w:t xml:space="preserve">ASIL</w:t>
      </w:r>
      <w:r>
        <w:t xml:space="preserve">:</w:t>
      </w:r>
      <w:r>
        <w:t xml:space="preserve"> </w:t>
      </w:r>
      <w:r>
        <w:rPr>
          <w:rStyle w:val="VerbatimChar"/>
        </w:rPr>
        <w:t xml:space="preserve">ASIL_D</w:t>
      </w:r>
    </w:p>
    <w:p>
      <w:pPr>
        <w:pStyle w:val="Compact"/>
        <w:numPr>
          <w:ilvl w:val="0"/>
          <w:numId w:val="1023"/>
        </w:numPr>
      </w:pPr>
      <w:r>
        <w:rPr>
          <w:b/>
          <w:bCs/>
        </w:rPr>
        <w:t xml:space="preserve">Acceptance criteria</w:t>
      </w:r>
      <w:r>
        <w:t xml:space="preserve">:</w:t>
      </w:r>
    </w:p>
    <w:p>
      <w:pPr>
        <w:pStyle w:val="Compact"/>
        <w:numPr>
          <w:ilvl w:val="1"/>
          <w:numId w:val="1024"/>
        </w:numPr>
      </w:pPr>
      <w:r>
        <w:t xml:space="preserve">Fault response latency: Time from FAULT request to coil de-energize command ≤ 5 ms</w:t>
      </w:r>
    </w:p>
    <w:p>
      <w:pPr>
        <w:pStyle w:val="Compact"/>
        <w:numPr>
          <w:ilvl w:val="1"/>
          <w:numId w:val="1024"/>
        </w:numPr>
      </w:pPr>
      <w:r>
        <w:t xml:space="preserve">Feedback verification: Auxiliary contact readback after command ≤ 100% %</w:t>
      </w:r>
    </w:p>
    <w:p>
      <w:pPr>
        <w:pStyle w:val="Compact"/>
        <w:numPr>
          <w:ilvl w:val="1"/>
          <w:numId w:val="1024"/>
        </w:numPr>
      </w:pPr>
      <w:r>
        <w:t xml:space="preserve">State machine correctness: Valid transitions only ≤ 100% %</w:t>
      </w:r>
    </w:p>
    <w:p>
      <w:pPr>
        <w:pStyle w:val="Compact"/>
        <w:numPr>
          <w:ilvl w:val="0"/>
          <w:numId w:val="1023"/>
        </w:numPr>
      </w:pPr>
      <w:r>
        <w:rPr>
          <w:b/>
          <w:bCs/>
        </w:rPr>
        <w:t xml:space="preserve">Source references</w:t>
      </w:r>
      <w:r>
        <w:t xml:space="preserve">:</w:t>
      </w:r>
      <w:r>
        <w:t xml:space="preserve"> </w:t>
      </w:r>
      <w:r>
        <w:rPr>
          <w:rStyle w:val="VerbatimChar"/>
        </w:rPr>
        <w:t xml:space="preserve">FB2-SRC-COD-000007</w:t>
      </w:r>
      <w:r>
        <w:t xml:space="preserve">,</w:t>
      </w:r>
      <w:r>
        <w:t xml:space="preserve"> </w:t>
      </w:r>
      <w:r>
        <w:rPr>
          <w:rStyle w:val="VerbatimChar"/>
        </w:rPr>
        <w:t xml:space="preserve">FB2-SRC-COD-000008</w:t>
      </w:r>
      <w:r>
        <w:t xml:space="preserve">,</w:t>
      </w:r>
      <w:r>
        <w:t xml:space="preserve"> </w:t>
      </w:r>
      <w:r>
        <w:rPr>
          <w:rStyle w:val="VerbatimChar"/>
        </w:rPr>
        <w:t xml:space="preserve">FB2-SRC-COD-000009</w:t>
      </w:r>
      <w:r>
        <w:t xml:space="preserve">,</w:t>
      </w:r>
      <w:r>
        <w:t xml:space="preserve"> </w:t>
      </w:r>
      <w:r>
        <w:rPr>
          <w:rStyle w:val="VerbatimChar"/>
        </w:rPr>
        <w:t xml:space="preserve">FB2-SRC-COD-000013</w:t>
      </w:r>
    </w:p>
    <w:p>
      <w:pPr>
        <w:pStyle w:val="Compact"/>
        <w:numPr>
          <w:ilvl w:val="0"/>
          <w:numId w:val="1023"/>
        </w:numPr>
      </w:pPr>
      <w:r>
        <w:rPr>
          <w:b/>
          <w:bCs/>
        </w:rPr>
        <w:t xml:space="preserve">Assumption references</w:t>
      </w:r>
      <w:r>
        <w:t xml:space="preserve">:</w:t>
      </w:r>
      <w:r>
        <w:t xml:space="preserve"> </w:t>
      </w:r>
      <w:r>
        <w:rPr>
          <w:rStyle w:val="VerbatimChar"/>
        </w:rPr>
        <w:t xml:space="preserve">FB2-ASM-012</w:t>
      </w:r>
    </w:p>
    <w:bookmarkEnd w:id="39"/>
    <w:bookmarkEnd w:id="40"/>
    <w:bookmarkStart w:id="42" w:name="parent-fsr-fb2-saf-fsr-000004"/>
    <w:p>
      <w:pPr>
        <w:pStyle w:val="Heading3"/>
      </w:pPr>
      <w:r>
        <w:t xml:space="preserve">Parent FSR:</w:t>
      </w:r>
      <w:r>
        <w:t xml:space="preserve"> </w:t>
      </w:r>
      <w:r>
        <w:rPr>
          <w:rStyle w:val="VerbatimChar"/>
        </w:rPr>
        <w:t xml:space="preserve">FB2-SAF-FSR-000004</w:t>
      </w:r>
    </w:p>
    <w:bookmarkStart w:id="41" w:name="Xabc5344f6eada92d16d76050362aecd62a4caff"/>
    <w:p>
      <w:pPr>
        <w:pStyle w:val="Heading4"/>
      </w:pPr>
      <w:r>
        <w:rPr>
          <w:rStyle w:val="VerbatimChar"/>
        </w:rPr>
        <w:t xml:space="preserve">FB2-HW-TSR-000004</w:t>
      </w:r>
      <w:r>
        <w:t xml:space="preserve"> </w:t>
      </w:r>
      <w:r>
        <w:t xml:space="preserve">— TSR: Independent Hardware Voltage Monitor</w:t>
      </w:r>
    </w:p>
    <w:p>
      <w:pPr>
        <w:pStyle w:val="Compact"/>
        <w:numPr>
          <w:ilvl w:val="0"/>
          <w:numId w:val="1025"/>
        </w:numPr>
      </w:pPr>
      <w:r>
        <w:rPr>
          <w:b/>
          <w:bCs/>
        </w:rPr>
        <w:t xml:space="preserve">Allocated to</w:t>
      </w:r>
      <w:r>
        <w:t xml:space="preserve">:</w:t>
      </w:r>
      <w:r>
        <w:t xml:space="preserve"> </w:t>
      </w:r>
      <w:r>
        <w:rPr>
          <w:rStyle w:val="VerbatimChar"/>
        </w:rPr>
        <w:t xml:space="preserve">FB2-SAF-FSR-000004</w:t>
      </w:r>
      <w:r>
        <w:t xml:space="preserve"> </w:t>
      </w:r>
      <w:r>
        <w:t xml:space="preserve">(link</w:t>
      </w:r>
      <w:r>
        <w:t xml:space="preserve"> </w:t>
      </w:r>
      <w:r>
        <w:rPr>
          <w:rStyle w:val="VerbatimChar"/>
        </w:rPr>
        <w:t xml:space="preserve">FB2-LNK-SAF-000058</w:t>
      </w:r>
      <w:r>
        <w:t xml:space="preserve">, rationale:</w:t>
      </w:r>
      <w:r>
        <w:t xml:space="preserve"> </w:t>
      </w:r>
      <w:r>
        <w:t xml:space="preserve">“</w:t>
      </w:r>
      <w:r>
        <w:t xml:space="preserve">Hardware requirement allocated from functional safety requirement</w:t>
      </w:r>
      <w:r>
        <w:t xml:space="preserve">”</w:t>
      </w:r>
      <w:r>
        <w:t xml:space="preserve">)</w:t>
      </w:r>
    </w:p>
    <w:p>
      <w:pPr>
        <w:pStyle w:val="Compact"/>
        <w:numPr>
          <w:ilvl w:val="0"/>
          <w:numId w:val="1025"/>
        </w:numPr>
      </w:pPr>
      <w:r>
        <w:rPr>
          <w:b/>
          <w:bCs/>
        </w:rPr>
        <w:t xml:space="preserve">Statement</w:t>
      </w:r>
      <w:r>
        <w:t xml:space="preserve">: The BMS shall include an independent hardware voltage monitor (ASIL B) that continuously monitors cell voltages and can open HV contactors independently of the main MCU within 50 ms of overvoltage detection.</w:t>
      </w:r>
    </w:p>
    <w:p>
      <w:pPr>
        <w:pStyle w:val="Compact"/>
        <w:numPr>
          <w:ilvl w:val="0"/>
          <w:numId w:val="1025"/>
        </w:numPr>
      </w:pPr>
      <w:r>
        <w:rPr>
          <w:b/>
          <w:bCs/>
        </w:rPr>
        <w:t xml:space="preserve">Rationale</w:t>
      </w:r>
      <w:r>
        <w:t xml:space="preserve">: Provides freedom from interference for ASIL D safety goal; addresses timing budget violation in main path (115 ms &gt; 100 ms FTTI) by providing parallel safety channel</w:t>
      </w:r>
    </w:p>
    <w:p>
      <w:pPr>
        <w:pStyle w:val="Compact"/>
        <w:numPr>
          <w:ilvl w:val="0"/>
          <w:numId w:val="1025"/>
        </w:numPr>
      </w:pPr>
      <w:r>
        <w:rPr>
          <w:b/>
          <w:bCs/>
        </w:rPr>
        <w:t xml:space="preserve">Classification</w:t>
      </w:r>
      <w:r>
        <w:t xml:space="preserve">:</w:t>
      </w:r>
      <w:r>
        <w:t xml:space="preserve"> </w:t>
      </w:r>
      <w:r>
        <w:rPr>
          <w:rStyle w:val="VerbatimChar"/>
        </w:rPr>
        <w:t xml:space="preserve">safety</w:t>
      </w:r>
    </w:p>
    <w:p>
      <w:pPr>
        <w:pStyle w:val="Compact"/>
        <w:numPr>
          <w:ilvl w:val="0"/>
          <w:numId w:val="1025"/>
        </w:numPr>
      </w:pPr>
      <w:r>
        <w:rPr>
          <w:b/>
          <w:bCs/>
        </w:rPr>
        <w:t xml:space="preserve">ASIL</w:t>
      </w:r>
      <w:r>
        <w:t xml:space="preserve">:</w:t>
      </w:r>
      <w:r>
        <w:t xml:space="preserve"> </w:t>
      </w:r>
      <w:r>
        <w:rPr>
          <w:rStyle w:val="VerbatimChar"/>
        </w:rPr>
        <w:t xml:space="preserve">ASIL_B</w:t>
      </w:r>
    </w:p>
    <w:p>
      <w:pPr>
        <w:pStyle w:val="Compact"/>
        <w:numPr>
          <w:ilvl w:val="0"/>
          <w:numId w:val="1025"/>
        </w:numPr>
      </w:pPr>
      <w:r>
        <w:rPr>
          <w:b/>
          <w:bCs/>
        </w:rPr>
        <w:t xml:space="preserve">Acceptance criteria</w:t>
      </w:r>
      <w:r>
        <w:t xml:space="preserve">:</w:t>
      </w:r>
    </w:p>
    <w:p>
      <w:pPr>
        <w:pStyle w:val="Compact"/>
        <w:numPr>
          <w:ilvl w:val="1"/>
          <w:numId w:val="1026"/>
        </w:numPr>
      </w:pPr>
      <w:r>
        <w:t xml:space="preserve">Independent detection latency: Time from overvoltage to contactor command ≤ 50 ms</w:t>
      </w:r>
    </w:p>
    <w:p>
      <w:pPr>
        <w:pStyle w:val="Compact"/>
        <w:numPr>
          <w:ilvl w:val="1"/>
          <w:numId w:val="1026"/>
        </w:numPr>
      </w:pPr>
      <w:r>
        <w:t xml:space="preserve">Independence: No shared MCU, power supply, or communication with main path ≤ 100% %</w:t>
      </w:r>
    </w:p>
    <w:p>
      <w:pPr>
        <w:pStyle w:val="Compact"/>
        <w:numPr>
          <w:ilvl w:val="1"/>
          <w:numId w:val="1026"/>
        </w:numPr>
      </w:pPr>
      <w:r>
        <w:t xml:space="preserve">Monitoring coverage: Cells monitored ≤ All cells (or representative subset &gt;= 50%) %</w:t>
      </w:r>
    </w:p>
    <w:p>
      <w:pPr>
        <w:pStyle w:val="Compact"/>
        <w:numPr>
          <w:ilvl w:val="1"/>
          <w:numId w:val="1026"/>
        </w:numPr>
      </w:pPr>
      <w:r>
        <w:t xml:space="preserve">Threshold accuracy: Overvoltage threshold accuracy ≤ 50 mV</w:t>
      </w:r>
    </w:p>
    <w:p>
      <w:pPr>
        <w:pStyle w:val="Compact"/>
        <w:numPr>
          <w:ilvl w:val="0"/>
          <w:numId w:val="1025"/>
        </w:numPr>
      </w:pPr>
      <w:r>
        <w:rPr>
          <w:b/>
          <w:bCs/>
        </w:rPr>
        <w:t xml:space="preserve">Source references</w:t>
      </w:r>
      <w:r>
        <w:t xml:space="preserve">: —</w:t>
      </w:r>
    </w:p>
    <w:p>
      <w:pPr>
        <w:pStyle w:val="Compact"/>
        <w:numPr>
          <w:ilvl w:val="0"/>
          <w:numId w:val="1025"/>
        </w:numPr>
      </w:pPr>
      <w:r>
        <w:rPr>
          <w:b/>
          <w:bCs/>
        </w:rPr>
        <w:t xml:space="preserve">Assumption references</w:t>
      </w:r>
      <w:r>
        <w:t xml:space="preserve">:</w:t>
      </w:r>
      <w:r>
        <w:t xml:space="preserve"> </w:t>
      </w:r>
      <w:r>
        <w:rPr>
          <w:rStyle w:val="VerbatimChar"/>
        </w:rPr>
        <w:t xml:space="preserve">FB2-ASM-008</w:t>
      </w:r>
    </w:p>
    <w:bookmarkEnd w:id="41"/>
    <w:bookmarkEnd w:id="42"/>
    <w:bookmarkStart w:id="44" w:name="X2d267b6394db0e3b3a7e8bdbd05de8a02bc579a"/>
    <w:p>
      <w:pPr>
        <w:pStyle w:val="Heading3"/>
      </w:pPr>
      <w:r>
        <w:t xml:space="preserve">Software Requirements Without Parent FSR Link</w:t>
      </w:r>
    </w:p>
    <w:bookmarkStart w:id="43" w:name="X1086518f1b29501d8c6c8a0637ce1d975122977"/>
    <w:p>
      <w:pPr>
        <w:pStyle w:val="Heading4"/>
      </w:pPr>
      <w:r>
        <w:rPr>
          <w:rStyle w:val="VerbatimChar"/>
        </w:rPr>
        <w:t xml:space="preserve">FB2-MAN-SCO-000001</w:t>
      </w:r>
      <w:r>
        <w:t xml:space="preserve"> </w:t>
      </w:r>
      <w:r>
        <w:t xml:space="preserve">— Project Scope: foxBMS 2 Reference BMS Development</w:t>
      </w:r>
    </w:p>
    <w:p>
      <w:pPr>
        <w:pStyle w:val="Compact"/>
        <w:numPr>
          <w:ilvl w:val="0"/>
          <w:numId w:val="1027"/>
        </w:numPr>
      </w:pPr>
      <w:r>
        <w:rPr>
          <w:b/>
          <w:bCs/>
        </w:rPr>
        <w:t xml:space="preserve">Statement</w:t>
      </w:r>
      <w:r>
        <w:t xml:space="preserve">: Develop a reference implementation of a production-intent BMS based on the foxBMS 2 platform, covering all safety-critical functions for a hypothetical 400V/100kWh EV battery pack with ASIL D cell voltage monitoring.</w:t>
      </w:r>
    </w:p>
    <w:p>
      <w:pPr>
        <w:pStyle w:val="Compact"/>
        <w:numPr>
          <w:ilvl w:val="0"/>
          <w:numId w:val="1027"/>
        </w:numPr>
      </w:pPr>
      <w:r>
        <w:rPr>
          <w:b/>
          <w:bCs/>
        </w:rPr>
        <w:t xml:space="preserve">Classification</w:t>
      </w:r>
      <w:r>
        <w:t xml:space="preserve">:</w:t>
      </w:r>
      <w:r>
        <w:t xml:space="preserve"> </w:t>
      </w:r>
      <w:r>
        <w:rPr>
          <w:rStyle w:val="VerbatimChar"/>
        </w:rPr>
        <w:t xml:space="preserve">management</w:t>
      </w:r>
      <w:r>
        <w:t xml:space="preserve"> </w:t>
      </w:r>
      <w:r>
        <w:t xml:space="preserve">|</w:t>
      </w:r>
      <w:r>
        <w:t xml:space="preserve"> </w:t>
      </w:r>
      <w:r>
        <w:rPr>
          <w:b/>
          <w:bCs/>
        </w:rPr>
        <w:t xml:space="preserve">Profile</w:t>
      </w:r>
      <w:r>
        <w:t xml:space="preserve">:</w:t>
      </w:r>
      <w:r>
        <w:t xml:space="preserve"> </w:t>
      </w:r>
      <w:r>
        <w:rPr>
          <w:rStyle w:val="VerbatimChar"/>
        </w:rPr>
        <w:t xml:space="preserve">synthetic_reference</w:t>
      </w:r>
    </w:p>
    <w:p>
      <w:pPr>
        <w:pStyle w:val="Compact"/>
        <w:numPr>
          <w:ilvl w:val="0"/>
          <w:numId w:val="1027"/>
        </w:numPr>
      </w:pPr>
      <w:r>
        <w:rPr>
          <w:b/>
          <w:bCs/>
        </w:rPr>
        <w:t xml:space="preserve">Note</w:t>
      </w:r>
      <w:r>
        <w:t xml:space="preserve">: no</w:t>
      </w:r>
      <w:r>
        <w:t xml:space="preserve"> </w:t>
      </w:r>
      <w:r>
        <w:rPr>
          <w:rStyle w:val="VerbatimChar"/>
        </w:rPr>
        <w:t xml:space="preserve">allocated_to</w:t>
      </w:r>
      <w:r>
        <w:t xml:space="preserve"> </w:t>
      </w:r>
      <w:r>
        <w:t xml:space="preserve">link to a parent FSR in this profile’s registry.</w:t>
      </w:r>
    </w:p>
    <w:p>
      <w:r>
        <w:pict>
          <v:rect style="width:0;height:1.5pt" o:hralign="center" o:hrstd="t" o:hr="t"/>
        </w:pict>
      </w:r>
    </w:p>
    <w:p>
      <w:pPr>
        <w:pStyle w:val="FirstParagraph"/>
      </w:pPr>
      <w:r>
        <w:rPr>
          <w:i/>
          <w:iCs/>
        </w:rPr>
        <w:t xml:space="preserve">Generated: 2026-09-29T10:08:35Z — auto-generated from the machine-verifiable corpus. Regenerate with</w:t>
      </w:r>
      <w:r>
        <w:rPr>
          <w:i/>
          <w:iCs/>
        </w:rPr>
        <w:t xml:space="preserve"> </w:t>
      </w:r>
      <w:r>
        <w:rPr>
          <w:rStyle w:val="VerbatimChar"/>
          <w:i/>
          <w:iCs/>
        </w:rPr>
        <w:t xml:space="preserve">python3 docs/artifacts/tools/render_spec_documents.py</w:t>
      </w:r>
      <w:r>
        <w:rPr>
          <w:i/>
          <w:iCs/>
        </w:rPr>
        <w:t xml:space="preserve">.</w:t>
      </w:r>
    </w:p>
    <w:bookmarkEnd w:id="43"/>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 Software Requirements Specification</dc:title>
  <dc:creator>foxBMS 2 Lifecycle Artifact Corpus</dc:creator>
  <cp:keywords/>
  <dcterms:created xsi:type="dcterms:W3CDTF">2026-09-29T10:08:37Z</dcterms:created>
  <dcterms:modified xsi:type="dcterms:W3CDTF">2026-09-29T10:08:37Z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2026-09-29</vt:lpwstr>
  </property>
</Properties>
</file>