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2026-09-13T15:17:46Z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5"/>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 30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Independent detection latency: Time from overvoltage to contactor command ≤ 50 ms</w:t>
      </w:r>
    </w:p>
    <w:p>
      <w:pPr>
        <w:pStyle w:val="Compact"/>
        <w:numPr>
          <w:ilvl w:val="1"/>
          <w:numId w:val="1018"/>
        </w:numPr>
      </w:pPr>
      <w:r>
        <w:t xml:space="preserve">Independence: No shared MCU, power supply, or communication with main path ≤ 100% %</w:t>
      </w:r>
    </w:p>
    <w:p>
      <w:pPr>
        <w:pStyle w:val="Compact"/>
        <w:numPr>
          <w:ilvl w:val="1"/>
          <w:numId w:val="1018"/>
        </w:numPr>
      </w:pPr>
      <w:r>
        <w:t xml:space="preserve">Monitoring coverage: Cells monitored ≤ All cells (or representative subset &gt;= 50%) %</w:t>
      </w:r>
    </w:p>
    <w:p>
      <w:pPr>
        <w:pStyle w:val="Compact"/>
        <w:numPr>
          <w:ilvl w:val="1"/>
          <w:numId w:val="1018"/>
        </w:numPr>
      </w:pPr>
      <w:r>
        <w:t xml:space="preserve">Threshold accuracy: Overvoltage threshold accuracy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p>
      <w:r>
        <w:pict>
          <v:rect style="width:0;height:1.5pt" o:hralign="center" o:hrstd="t" o:hr="t"/>
        </w:pict>
      </w:r>
    </w:p>
    <w:p>
      <w:pPr>
        <w:pStyle w:val="FirstParagraph"/>
      </w:pPr>
      <w:r>
        <w:rPr>
          <w:i/>
          <w:iCs/>
        </w:rPr>
        <w:t xml:space="preserve">Generated: 2026-09-13T15:17:46Z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2026-09-13T15:17:48Z</dcterms:created>
  <dcterms:modified xsi:type="dcterms:W3CDTF">2026-09-13T15:17:48Z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