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foxbms-2-system-verification-report"/>
    <w:p>
      <w:pPr>
        <w:pStyle w:val="Heading1"/>
      </w:pPr>
      <w:r>
        <w:t xml:space="preserve">foxBMS 2 — System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System-level verification: (1) reverse-engineered system verification evidence — CI test levels, diagnosis reaction verification, measurement validation; (2) test specification, cases and execution reports from corpus TMS/EXE artifacts. Missing evidence is blocked, not fabricated.</w:t>
      </w:r>
    </w:p>
    <w:bookmarkEnd w:id="20"/>
    <w:bookmarkStart w:id="24" w:name="Xaa2acccf6f9834528f7df0c8ccb0adc7b5d7aa3"/>
    <w:p>
      <w:pPr>
        <w:pStyle w:val="Heading2"/>
      </w:pPr>
      <w:r>
        <w:t xml:space="preserve">Reverse-Engineered System Verification Evidence</w:t>
      </w:r>
    </w:p>
    <w:bookmarkStart w:id="21" w:name="test-levels-in-the-repository"/>
    <w:p>
      <w:pPr>
        <w:pStyle w:val="Heading3"/>
      </w:pPr>
      <w:r>
        <w:t xml:space="preserve">Test Levels in the Repository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313 C test files in</w:t>
            </w:r>
            <w:r>
              <w:t xml:space="preserve"> </w:t>
            </w:r>
            <w:r>
              <w:rPr>
                <w:rStyle w:val="VerbatimChar"/>
              </w:rPr>
              <w:t xml:space="preserve">tests/unit/app/**</w:t>
            </w:r>
            <w:r>
              <w:t xml:space="preserve">, Ceedling/Unity, executed in CI for every revision (</w:t>
            </w:r>
            <w:r>
              <w:rPr>
                <w:rStyle w:val="VerbatimChar"/>
              </w:rPr>
              <w:t xml:space="preserve">docs/developer-manual/software/software-verification.rst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Static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standard conformance tests (</w:t>
            </w:r>
            <w:r>
              <w:rPr>
                <w:rStyle w:val="VerbatimChar"/>
              </w:rPr>
              <w:t xml:space="preserve">tests/c-std</w:t>
            </w:r>
            <w:r>
              <w:t xml:space="preserve">), CLI tests (</w:t>
            </w:r>
            <w:r>
              <w:rPr>
                <w:rStyle w:val="VerbatimChar"/>
              </w:rPr>
              <w:t xml:space="preserve">tests/cli</w:t>
            </w:r>
            <w:r>
              <w:t xml:space="preserve">), DBC validity checks (</w:t>
            </w:r>
            <w:r>
              <w:rPr>
                <w:rStyle w:val="VerbatimChar"/>
              </w:rPr>
              <w:t xml:space="preserve">tests/dbc</w:t>
            </w:r>
            <w:r>
              <w:t xml:space="preserve">), OS-include hygiene (</w:t>
            </w:r>
            <w:r>
              <w:rPr>
                <w:rStyle w:val="VerbatimChar"/>
              </w:rPr>
              <w:t xml:space="preserve">tests/os-information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program on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setup</w:t>
            </w:r>
            <w:r>
              <w:t xml:space="preserve"> </w:t>
            </w:r>
            <w:r>
              <w:rPr>
                <w:b/>
                <w:bCs/>
              </w:rPr>
              <w:t xml:space="preserve">not published</w:t>
            </w:r>
            <w:r>
              <w:t xml:space="preserve"> </w:t>
            </w:r>
            <w:r>
              <w:t xml:space="preserve">in this repository (</w:t>
            </w:r>
            <w:r>
              <w:rPr>
                <w:rStyle w:val="VerbatimChar"/>
              </w:rPr>
              <w:t xml:space="preserve">tests/hil</w:t>
            </w:r>
            <w:r>
              <w:t xml:space="preserve"> </w:t>
            </w:r>
            <w:r>
              <w:t xml:space="preserve">placeholder,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Policy: unit and HIL coverage reports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show 100% line and branch coverage (software testing doc). Failing tests reject the feature branch in CI.</w:t>
      </w:r>
    </w:p>
    <w:bookmarkEnd w:id="21"/>
    <w:bookmarkStart w:id="22" w:name="diagnosis-reaction-verification-built-in"/>
    <w:p>
      <w:pPr>
        <w:pStyle w:val="Heading3"/>
      </w:pPr>
      <w:r>
        <w:t xml:space="preserve">Diagnosis Reaction Verification (built-in)</w:t>
      </w:r>
    </w:p>
    <w:p>
      <w:pPr>
        <w:pStyle w:val="FirstParagraph"/>
      </w:pPr>
      <w:r>
        <w:t xml:space="preserve">Every diagnosis entry is verifiable through the built-in reaction chain:</w:t>
      </w:r>
      <w:r>
        <w:t xml:space="preserve"> </w:t>
      </w:r>
      <w:r>
        <w:rPr>
          <w:rStyle w:val="VerbatimChar"/>
        </w:rPr>
        <w:t xml:space="preserve">DIAG_*</w:t>
      </w:r>
      <w:r>
        <w:t xml:space="preserve"> </w:t>
      </w:r>
      <w:r>
        <w:t xml:space="preserve">event → severity evaluation (</w:t>
      </w:r>
      <w:r>
        <w:rPr>
          <w:rStyle w:val="VerbatimChar"/>
        </w:rPr>
        <w:t xml:space="preserve">DIAG_UpdateFlags</w:t>
      </w:r>
      <w:r>
        <w:t xml:space="preserve">, 1 ms) → BMS FSM</w:t>
      </w:r>
      <w:r>
        <w:t xml:space="preserve"> </w:t>
      </w:r>
      <w:r>
        <w:rPr>
          <w:rStyle w:val="VerbatimChar"/>
        </w:rPr>
        <w:t xml:space="preserve">BMS_FSM_STATE_ERROR</w:t>
      </w:r>
      <w:r>
        <w:t xml:space="preserve"> </w:t>
      </w:r>
      <w:r>
        <w:t xml:space="preserve">→ contactor open. Unit tests cover the diagnosis engine (22 test files in</w:t>
      </w:r>
      <w:r>
        <w:t xml:space="preserve"> </w:t>
      </w:r>
      <w:r>
        <w:rPr>
          <w:rStyle w:val="VerbatimChar"/>
        </w:rPr>
        <w:t xml:space="preserve">tests/unit/app/engine/diag/</w:t>
      </w:r>
      <w:r>
        <w:t xml:space="preserve">) and the SOA limit evaluation (</w:t>
      </w:r>
      <w:r>
        <w:rPr>
          <w:rStyle w:val="VerbatimChar"/>
        </w:rPr>
        <w:t xml:space="preserve">tests/unit/app/application/soa/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application/config/</w:t>
      </w:r>
      <w:r>
        <w:t xml:space="preserve">).</w:t>
      </w:r>
    </w:p>
    <w:bookmarkEnd w:id="22"/>
    <w:bookmarkStart w:id="23" w:name="measurement-validation-built-in"/>
    <w:p>
      <w:pPr>
        <w:pStyle w:val="Heading3"/>
      </w:pPr>
      <w:r>
        <w:t xml:space="preserve">Measurement Validation (built-in)</w:t>
      </w:r>
    </w:p>
    <w:p>
      <w:pPr>
        <w:pStyle w:val="FirstParagraph"/>
      </w:pPr>
      <w:r>
        <w:t xml:space="preserve">Cell measurements are validated continuously at runtime: plausibility checks (</w:t>
      </w:r>
      <w:r>
        <w:rPr>
          <w:rStyle w:val="VerbatimChar"/>
        </w:rPr>
        <w:t xml:space="preserve">PL_CheckEvent*</w:t>
      </w:r>
      <w:r>
        <w:t xml:space="preserve">), redundancy validation (</w:t>
      </w:r>
      <w:r>
        <w:rPr>
          <w:rStyle w:val="VerbatimChar"/>
        </w:rPr>
        <w:t xml:space="preserve">MRC_ValidateAfeMeasurement</w:t>
      </w:r>
      <w:r>
        <w:t xml:space="preserve"> </w:t>
      </w:r>
      <w:r>
        <w:t xml:space="preserve">every 50 ms), AFE communication integrity diagnosis entries — i.e. the system verifies its own measurement path as part of operation.</w:t>
      </w:r>
    </w:p>
    <w:bookmarkEnd w:id="23"/>
    <w:bookmarkEnd w:id="24"/>
    <w:bookmarkStart w:id="36" w:name="test-specification"/>
    <w:p>
      <w:pPr>
        <w:pStyle w:val="Heading2"/>
      </w:pPr>
      <w:r>
        <w:t xml:space="preserve">Test Specification</w:t>
      </w:r>
    </w:p>
    <w:bookmarkStart w:id="25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5"/>
    <w:bookmarkStart w:id="26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6"/>
    <w:bookmarkStart w:id="27" w:name="X83a0560b853302079463f638246a34148b72848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(as_is)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Plausibility check flags implausible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delta violation between redundant samples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flagged_cell</w:t>
      </w:r>
      <w:r>
        <w:t xml:space="preserve"> </w:t>
      </w:r>
      <w:r>
        <w:t xml:space="preserve">= true (tolerance exact)</w:t>
      </w:r>
    </w:p>
    <w:bookmarkEnd w:id="27"/>
    <w:bookmarkStart w:id="28" w:name="X88e10188e3ff5988f2f7255d2859283460c35f0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LTC6813-1 AFE Driver Communication and Measurement (as_is)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Objective</w:t>
      </w:r>
      <w:r>
        <w:t xml:space="preserve">: Verify AFE driver SPI communication integrity and cell voltage measurement accuracy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Issue AFE read command via mocked SPI</w:t>
      </w:r>
      <w:r>
        <w:t xml:space="preserve"> </w:t>
      </w:r>
      <w:r>
        <w:t xml:space="preserve">→ expected: Command frame matches LTC6813-1 PEC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Feed known cell voltage raw values</w:t>
      </w:r>
      <w:r>
        <w:t xml:space="preserve"> </w:t>
      </w:r>
      <w:r>
        <w:t xml:space="preserve">→ expected: Converted mV values within ±1.5 mV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Corrupt PEC of response frame</w:t>
      </w:r>
      <w:r>
        <w:t xml:space="preserve"> </w:t>
      </w:r>
      <w:r>
        <w:t xml:space="preserve">→ expected: Communication error reported, no data committed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cell_voltage_mv</w:t>
      </w:r>
      <w:r>
        <w:t xml:space="preserve"> </w:t>
      </w:r>
      <w:r>
        <w:t xml:space="preserve">= 3300 (tolerance ±1.5 mV)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bookmarkEnd w:id="28"/>
    <w:bookmarkStart w:id="29" w:name="X6e28acf108c78456a51830ce8f6678346559ce3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Contactor Driver Configuration and Control (as_is)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Initialize contactor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Set contactor on</w:t>
      </w:r>
      <w:r>
        <w:t xml:space="preserve"> </w:t>
      </w:r>
      <w:r>
        <w:t xml:space="preserve">→ expected: GPIO output asserted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Request safety switch-off (all contactors)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contactor_state</w:t>
      </w:r>
      <w:r>
        <w:t xml:space="preserve"> </w:t>
      </w:r>
      <w:r>
        <w:t xml:space="preserve">= on (tolerance exact)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29"/>
    <w:bookmarkStart w:id="30" w:name="X1f8b6f688ad74878c149584452e3bb1b6ad0677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(synthetic_reference)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Repeat injection 2 times (debounce count)</w:t>
      </w:r>
      <w:r>
        <w:t xml:space="preserve"> </w:t>
      </w:r>
      <w:r>
        <w:t xml:space="preserve">→ expected: FAULT request triggered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30"/>
    <w:bookmarkStart w:id="31" w:name="X0469dd1f6af88c912c1739c5f2195be49ab04ba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Fault Response (synthetic_reference)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Drive state machine through normal path</w:t>
      </w:r>
      <w:r>
        <w:t xml:space="preserve"> </w:t>
      </w:r>
      <w:r>
        <w:t xml:space="preserve">→ expected: Transitions match state table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Open contactors within 50 ms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Verify feedback mismatch diagnosis</w:t>
      </w:r>
      <w:r>
        <w:t xml:space="preserve"> </w:t>
      </w:r>
      <w:r>
        <w:t xml:space="preserve">→ expected: DIAG event raised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contactor_open_latency_ms</w:t>
      </w:r>
      <w:r>
        <w:t xml:space="preserve"> </w:t>
      </w:r>
      <w:r>
        <w:t xml:space="preserve">= &lt;50 (tolerance exact)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fault_feedback_diag</w:t>
      </w:r>
      <w:r>
        <w:t xml:space="preserve"> </w:t>
      </w:r>
      <w:r>
        <w:t xml:space="preserve">= true (tolerance exact)</w:t>
      </w:r>
    </w:p>
    <w:bookmarkEnd w:id="31"/>
    <w:bookmarkStart w:id="32" w:name="X8fcd523b52074504719d4b53295d48f55fc3375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(synthetic_reference)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bookmarkEnd w:id="32"/>
    <w:bookmarkStart w:id="33" w:name="X737e6f1a549c1d9bcd37d3264f2ee68ea0eb3b1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Independent Voltage Monitor Reaction (synthetic_reference)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fault_injection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Objective</w:t>
      </w:r>
      <w:r>
        <w:t xml:space="preserve">: Verify independent monitor detects overvoltage and opens contactors on diverse path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Inject cell voltage above monitor threshold</w:t>
      </w:r>
      <w:r>
        <w:t xml:space="preserve"> </w:t>
      </w:r>
      <w:r>
        <w:t xml:space="preserve">→ expected: Monitor path triggers independent open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Hold violation beyond monitor reaction time</w:t>
      </w:r>
      <w:r>
        <w:t xml:space="preserve"> </w:t>
      </w:r>
      <w:r>
        <w:t xml:space="preserve">→ expected: Contactors opened within 80 ms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Verify path independence from primary SOA</w:t>
      </w:r>
      <w:r>
        <w:t xml:space="preserve"> </w:t>
      </w:r>
      <w:r>
        <w:t xml:space="preserve">→ expected: Reaction with primary path disabled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independent_open_latency_ms</w:t>
      </w:r>
      <w:r>
        <w:t xml:space="preserve"> </w:t>
      </w:r>
      <w:r>
        <w:t xml:space="preserve">= &lt;80 (tolerance exact)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path_independent</w:t>
      </w:r>
      <w:r>
        <w:t xml:space="preserve"> </w:t>
      </w:r>
      <w:r>
        <w:t xml:space="preserve">= true (tolerance exact)</w:t>
      </w:r>
    </w:p>
    <w:bookmarkEnd w:id="33"/>
    <w:bookmarkStart w:id="34" w:name="Xda4f405e3536f59189286153e7737b06d7f3cd8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AFE Communication Integrity (synthetic_reference)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robustness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Objective</w:t>
      </w:r>
      <w:r>
        <w:t xml:space="preserve">: Verify AFE SPI communication integrity under frame corruption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Corrupt PEC of AFE response frame</w:t>
      </w:r>
      <w:r>
        <w:t xml:space="preserve"> </w:t>
      </w:r>
      <w:r>
        <w:t xml:space="preserve">→ expected: Communication error reported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Verify retry counter</w:t>
      </w:r>
      <w:r>
        <w:t xml:space="preserve"> </w:t>
      </w:r>
      <w:r>
        <w:t xml:space="preserve">→ expected: Error counter increments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Corrupt beyond tolerance</w:t>
      </w:r>
      <w:r>
        <w:t xml:space="preserve"> </w:t>
      </w:r>
      <w:r>
        <w:t xml:space="preserve">→ expected: AFE communication diagnosis entry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afe_diag_entry</w:t>
      </w:r>
      <w:r>
        <w:t xml:space="preserve"> </w:t>
      </w:r>
      <w:r>
        <w:t xml:space="preserve">= true (tolerance exact)</w:t>
      </w:r>
    </w:p>
    <w:bookmarkEnd w:id="34"/>
    <w:bookmarkStart w:id="35" w:name="X05e15722acb099e3aee6d307916a4b4eb561b4e"/>
    <w:p>
      <w:pPr>
        <w:pStyle w:val="Heading4"/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— Test: Contactor Driver Configuration and Control (synthetic_reference)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Initialize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Request safety switch-off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35"/>
    <w:bookmarkEnd w:id="36"/>
    <w:bookmarkStart w:id="37" w:name="test-cases"/>
    <w:p>
      <w:pPr>
        <w:pStyle w:val="Heading2"/>
      </w:pPr>
      <w:r>
        <w:t xml:space="preserve">Test Cases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(synthetic_reference): 2 test case(s)</w:t>
      </w:r>
    </w:p>
    <w:p>
      <w:pPr>
        <w:pStyle w:val="FirstParagraph"/>
      </w:pPr>
      <w:r>
        <w:rPr>
          <w:b/>
          <w:bCs/>
        </w:rPr>
        <w:t xml:space="preserve">Total system-level test cases</w:t>
      </w:r>
      <w:r>
        <w:t xml:space="preserve">: 35</w:t>
      </w:r>
    </w:p>
    <w:bookmarkEnd w:id="37"/>
    <w:bookmarkStart w:id="45" w:name="execution-report"/>
    <w:p>
      <w:pPr>
        <w:pStyle w:val="Heading2"/>
      </w:pPr>
      <w:r>
        <w:t xml:space="preserve">Execution Report</w:t>
      </w:r>
    </w:p>
    <w:bookmarkStart w:id="38" w:name="Xba18ce4afc8380a0999e1d750e18320532c88a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Environment</w:t>
      </w:r>
      <w:r>
        <w:t xml:space="preserve">: x86_64 Linux host; Unity 2.5.2, CMock 2.4.0; tools: cmake 3.22.1, cmock 2.4.0, gcc 11.4.0, unity 2.5.2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38"/>
    <w:bookmarkStart w:id="39" w:name="X58e6a13ebb75e7eab5587c0d2e0108f8745476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FB2-VER-TMS-000001 (synthetic_fixture)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39"/>
    <w:bookmarkStart w:id="40" w:name="X608be2e9cbe6354c29f7899d1cb7bbc09e56f6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(synthetic_fixture)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40"/>
    <w:bookmarkStart w:id="41" w:name="X8ea60dc6d7d50b612cb83d14c059f66e1accfc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(synthetic_fixture)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41"/>
    <w:bookmarkStart w:id="42" w:name="X7820b97e901ffe40dd2fece6bbf18bfcaa11e2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FB2-VER-EXE-000004</w:t>
      </w:r>
      <w:r>
        <w:t xml:space="preserve"> </w:t>
      </w:r>
      <w:r>
        <w:t xml:space="preserve">— Execution: FB2-VER-TMS-000004 (synthetic_fixture)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</w:p>
    <w:bookmarkEnd w:id="42"/>
    <w:bookmarkStart w:id="43" w:name="Xd5df19ad137a8dcd6d20b1cd54d559410ef780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(synthetic_fixture)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tests/unit/app/driver/afe/ltc/6813-1/test_ltc_6813-1.c</w:t>
      </w:r>
    </w:p>
    <w:bookmarkEnd w:id="43"/>
    <w:bookmarkStart w:id="44" w:name="X926876aa927ca90459db89eebf58172efb20f9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FB2-VER-TMS-000006 (synthetic_fixture)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Verification Report</dc:title>
  <dc:creator>foxBMS 2 Lifecycle Artifact Corpus</dc:creator>
  <cp:keywords/>
  <dcterms:created xsi:type="dcterms:W3CDTF">2026-09-13T15:17:50Z</dcterms:created>
  <dcterms:modified xsi:type="dcterms:W3CDTF">2026-09-13T15:17:50Z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