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Requirements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fe7bed4e53f5e4573dd961ca6e61ce47e865d29"/>
    <w:p>
      <w:pPr>
        <w:pStyle w:val="Heading1"/>
      </w:pPr>
      <w:r>
        <w:t xml:space="preserve">foxBMS 2 — Software Requirements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2026-09-30T01:21:29Z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requirements of both corpus profiles (SWRs grouped under their parent FSR with allocation rationale) plus software requirements reverse-engineered from the 40 implemented modules and the diagnosis/SOA configuration.</w:t>
      </w:r>
    </w:p>
    <w:bookmarkEnd w:id="20"/>
    <w:bookmarkStart w:id="21" w:name="X6317600dfe579ae0fcb6f3227648ee40ae6e828"/>
    <w:p>
      <w:pPr>
        <w:pStyle w:val="Heading2"/>
      </w:pPr>
      <w:r>
        <w:t xml:space="preserve">Reverse-Engineered Software Requirements (module-grounded)</w:t>
      </w:r>
    </w:p>
    <w:p>
      <w:pPr>
        <w:pStyle w:val="FirstParagraph"/>
      </w:pPr>
      <w:r>
        <w:t xml:space="preserve">The implemented software directly satisfies the following software requirements. Each requirement cites its implementing module(s) with repository anchors; unit-test evidence is listed per module in the Detailed Design and Implementation Mapping documents.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modules (anchors)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acquire cell voltages and cell temperatures via the AFE daisy-chain and validate them (plausibility, redundancy).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src/app/driver/afe/*</w:t>
            </w:r>
            <w:r>
              <w:t xml:space="preserve"> </w:t>
            </w:r>
            <w:r>
              <w:t xml:space="preserve">(8 AFE drivers),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evaluate the safe operating area (cell voltage, cell temperature, cell/pack current) against MOL/RSL/MSL limits.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SOA_*</w:t>
            </w:r>
            <w:r>
              <w:t xml:space="preserve">), config</w:t>
            </w:r>
            <w:r>
              <w:t xml:space="preserve"> </w:t>
            </w:r>
            <w:r>
              <w:rPr>
                <w:rStyle w:val="VerbatimChar"/>
              </w:rPr>
              <w:t xml:space="preserve">battery_cell_cfg.h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detect and classify 85 diagnosis events with configurable severity, latency and occurrence counters.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run the BMS state machine (13 states, 34 substates) in the 10 ms task context and reach the safe state (contactors open) on fatal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src/app/application/config/bms_cfg.h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control string-minus, string-plus and precharge contactors through smart power switches with feedback supervision.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interlock line and open the contactors on interlock faults.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</w:t>
            </w:r>
            <w:r>
              <w:t xml:space="preserve"> </w:t>
            </w:r>
            <w:r>
              <w:t xml:space="preserve">(ILCK)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balance cells passively (reference strategy: voltage-based).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</w:t>
            </w:r>
            <w:r>
              <w:t xml:space="preserve"> </w:t>
            </w:r>
            <w:r>
              <w:t xml:space="preserve">(strategies: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voltage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estimate SOC/SOE/SOF/SOH (reference: coulomb/energy counting, trapezoid SOF).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src/app/application/algorithm/state_estimation/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algorithm.c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exchange data asynchronously between tasks via the database (single producer, multiple consumers).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monitor task execution times and supply voltages (system monitoring, FRAM-persisted).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communicate on CAN (41 messages) and provide an Ethernet TCP/IP interface for user applications.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tools/dbc/foxbms.dbc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system basis chip (SBC) and react to FIN/RSTB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</w:t>
            </w:r>
            <w:r>
              <w:t xml:space="preserve"> </w:t>
            </w:r>
            <w:r>
              <w:t xml:space="preserve">(NXP FS85)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provide timekeeping (RTC), port expansion (PEX), humidity/temperature sensing (HTSEN) and debug LEDs on the continuous I2C task.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htsensor/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support optional insulation monitoring (IMD).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be unit-testable: 313 C unit tests run in CI with 100% line/branch coverage policy.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tests/unit/app/**/test_*.c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</w:p>
        </w:tc>
      </w:tr>
    </w:tbl>
    <w:bookmarkEnd w:id="21"/>
    <w:bookmarkStart w:id="31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parent-fsr-fb2-saf-fsr-00000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22" w:name="X36acb27f133485f772f0bf1f0ea7c82440a7ced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02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02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22"/>
    <w:bookmarkStart w:id="23" w:name="X8ec073acabe5dea54c346595f3a1a17c408468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04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04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23"/>
    <w:bookmarkStart w:id="24" w:name="Xa9189893a5e974e8f7c6b24542c8eed4fa851d0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06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06"/>
        </w:numPr>
      </w:pPr>
      <w:r>
        <w:t xml:space="preserve">Database publish latency: Time from SPI complete to database write ≤ 5 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24"/>
    <w:bookmarkEnd w:id="25"/>
    <w:bookmarkStart w:id="27" w:name="parent-fsr-fb2-saf-fsr-000002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26" w:name="Xe52e109dfc566de15d580cb068f75bfcd0f4908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limits within 10 ms of data availability, triggering FAULT state on confirmed violation.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</w:t>
      </w:r>
      <w:r>
        <w:t xml:space="preserve">: SOA software must detect violations and trigger contactor opening within FTTI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Limit check latency: Time from database read to violation classification ≤ 10 ms</w:t>
      </w:r>
    </w:p>
    <w:p>
      <w:pPr>
        <w:pStyle w:val="Compact"/>
        <w:numPr>
          <w:ilvl w:val="1"/>
          <w:numId w:val="1008"/>
        </w:numPr>
      </w:pPr>
      <w:r>
        <w:t xml:space="preserve">Threshold accuracy: Comparison accuracy vs config ≤ 1 mV</w:t>
      </w:r>
    </w:p>
    <w:p>
      <w:pPr>
        <w:pStyle w:val="Compact"/>
        <w:numPr>
          <w:ilvl w:val="1"/>
          <w:numId w:val="1008"/>
        </w:numPr>
      </w:pPr>
      <w:r>
        <w:t xml:space="preserve">FAULT state transition: Time from violation to SYS state FAULT ≤ 5 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FB2-ASM-011</w:t>
      </w:r>
    </w:p>
    <w:bookmarkEnd w:id="26"/>
    <w:bookmarkEnd w:id="27"/>
    <w:bookmarkStart w:id="30" w:name="parent-fsr-fb2-saf-fsr-000003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28" w:name="Xd310bafbc9be2066d183f6fe2840dded077cc08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10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10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28"/>
    <w:bookmarkStart w:id="29" w:name="Xdaff8bb06108fdfef4cbb58e34fce528affddd4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12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12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29"/>
    <w:bookmarkEnd w:id="30"/>
    <w:bookmarkEnd w:id="31"/>
    <w:bookmarkStart w:id="45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35" w:name="parent-fsr-fb2-saf-fsr-000001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32" w:name="Xe64e4e0f1b32f11fc46219021901ae70043a329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14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14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32"/>
    <w:bookmarkStart w:id="33" w:name="Xbc70feb0eb1681c6e275f2a7ab056cdc01456d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16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16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33"/>
    <w:bookmarkStart w:id="34" w:name="Xcc999876cd39e96bf21d12864f25ede8a276e25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18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18"/>
        </w:numPr>
      </w:pPr>
      <w:r>
        <w:t xml:space="preserve">Database publish latency: Time from SPI complete to database write ≤ 25 ms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34"/>
    <w:bookmarkEnd w:id="35"/>
    <w:bookmarkStart w:id="37" w:name="parent-fsr-fb2-saf-fsr-000002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36" w:name="Xf81c887a44912b68bdef6c94decbd98a3cc54d0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minimum (2.5V) and maximum (4.2V) limits with a debounce of 2 consecutive violations within 100 ms, and classify violations within 5 ms of data availability, triggering FAULT state request on confirmed violation.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Rationale</w:t>
      </w:r>
      <w:r>
        <w:t xml:space="preserve">: SOA monitoring must detect limit violations fast enough to meet FTTI. Debounce of 2 violations in 100 ms balances false positives vs detection latency (statistical analysis shows &lt; 1e-6 false positive rate for Gaussian noise sigma=5mV).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Limit check latency: Time from database read to violation classification ≤ 5 ms</w:t>
      </w:r>
    </w:p>
    <w:p>
      <w:pPr>
        <w:pStyle w:val="Compact"/>
        <w:numPr>
          <w:ilvl w:val="1"/>
          <w:numId w:val="1020"/>
        </w:numPr>
      </w:pPr>
      <w:r>
        <w:t xml:space="preserve">Limit accuracy: Threshold comparison accuracy ≤ 1 mV</w:t>
      </w:r>
    </w:p>
    <w:p>
      <w:pPr>
        <w:pStyle w:val="Compact"/>
        <w:numPr>
          <w:ilvl w:val="1"/>
          <w:numId w:val="1020"/>
        </w:numPr>
      </w:pPr>
      <w:r>
        <w:t xml:space="preserve">Debounce filtering: False positive rate (Gaussian noise, sigma=5mV) ≤ 1E-6 events/hour</w:t>
      </w:r>
    </w:p>
    <w:p>
      <w:pPr>
        <w:pStyle w:val="Compact"/>
        <w:numPr>
          <w:ilvl w:val="1"/>
          <w:numId w:val="1020"/>
        </w:numPr>
      </w:pPr>
      <w:r>
        <w:t xml:space="preserve">FAULT request latency: Time from confirmed violation to SYS fault request ≤ 2 ms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FB2-SRC-COD-000006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FB2-ASM-006</w:t>
      </w:r>
    </w:p>
    <w:bookmarkEnd w:id="36"/>
    <w:bookmarkEnd w:id="37"/>
    <w:bookmarkStart w:id="40" w:name="parent-fsr-fb2-saf-fsr-000003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38" w:name="Xa2b1213ed28311afe05a39c97fbf4594296e28b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the FB2-SAF-FSR-000003 reaction budget: 5 ms coil command plus 30 ms mechanical opening (FB2-PRM-000005) reaches the mechanically open state 35 ms after the fault request, and 5 ms of auxiliary feedback confirmation completes the reaction 40 ms after 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22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22"/>
        </w:numPr>
      </w:pPr>
      <w:r>
        <w:t xml:space="preserve">Weld detection: Feedback mismatch detection time. The criterion is the weld detection budget of the actuated path and is deliberately not the reaction budget of FB2-SAF-FSR-000003, which is 40 ms end to end; see find… ≤ 100 ms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38"/>
    <w:bookmarkStart w:id="39" w:name="X40ca07af6c195e3ccd5e76efc375660f636d2b7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24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24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39"/>
    <w:bookmarkEnd w:id="40"/>
    <w:bookmarkStart w:id="42" w:name="parent-fsr-fb2-saf-fsr-000004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FB2-SAF-FSR-000004</w:t>
      </w:r>
    </w:p>
    <w:bookmarkStart w:id="41" w:name="Xabc5344f6eada92d16d76050362aecd62a4caff"/>
    <w:p>
      <w:pPr>
        <w:pStyle w:val="Heading4"/>
      </w:pPr>
      <w:r>
        <w:rPr>
          <w:rStyle w:val="VerbatimChar"/>
        </w:rPr>
        <w:t xml:space="preserve">FB2-HW-TSR-000004</w:t>
      </w:r>
      <w:r>
        <w:t xml:space="preserve"> </w:t>
      </w:r>
      <w:r>
        <w:t xml:space="preserve">— TSR: Independent Hardware Voltage Monitor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FB2-SAF-FSR-000004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FB2-LNK-SAF-000058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Statement</w:t>
      </w:r>
      <w:r>
        <w:t xml:space="preserve">: The hardware shall realise the ASIL B overvoltage reaction as a discrete chain separate from the main measurement chain: every cell monitored by the main chain shall be divided by a dedicated divider network into a comparator that holds its own overvoltage threshold reference on a supply rail not shared with the main chain, and the comparator output shall drive a contactor driver stage whose command is not sourced from the main microcontroller. No divider, reference, comparator, driver or supply…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Rationale</w:t>
      </w:r>
      <w:r>
        <w:t xml:space="preserve">: Hardware realisation of the second barrier required by FB2-SAF-FSR-000004, decomposed at system level by FB2-SYS-SYR-000005 and allocated to element AR-005 of FB2-SAF-TSC-000001. Freedom from interference for the ASIL D cell-voltage goal rests on this chain sharing no measurement, reference, supply or command resource with the main chain: as allocated in FB2-SAF-SGO-000001 the main path is 85 ms o…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ASIL_B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Independent chain coverage: Cells in the pack that the main measurement chain monitors and that the independent divider network also measures, as a fraction of that monitored set ≤ 100 %</w:t>
      </w:r>
    </w:p>
    <w:p>
      <w:pPr>
        <w:pStyle w:val="Compact"/>
        <w:numPr>
          <w:ilvl w:val="1"/>
          <w:numId w:val="1026"/>
        </w:numPr>
      </w:pPr>
      <w:r>
        <w:t xml:space="preserve">Independent chain detection latency: Time from the independent comparator’s threshold being exceeded to the contactor driver command at the coil ≤ 50 ms</w:t>
      </w:r>
    </w:p>
    <w:p>
      <w:pPr>
        <w:pStyle w:val="Compact"/>
        <w:numPr>
          <w:ilvl w:val="1"/>
          <w:numId w:val="1026"/>
        </w:numPr>
      </w:pPr>
      <w:r>
        <w:t xml:space="preserve">Supply-rail separation: Supply rails common to the independent chain and the main measurement chain ≤ 0 rails</w:t>
      </w:r>
    </w:p>
    <w:p>
      <w:pPr>
        <w:pStyle w:val="Compact"/>
        <w:numPr>
          <w:ilvl w:val="1"/>
          <w:numId w:val="1026"/>
        </w:numPr>
      </w:pPr>
      <w:r>
        <w:t xml:space="preserve">Threshold-reference separation: Overvoltage threshold references common to the independent chain and the main chain ≤ 0 references</w:t>
      </w:r>
    </w:p>
    <w:p>
      <w:pPr>
        <w:pStyle w:val="Compact"/>
        <w:numPr>
          <w:ilvl w:val="1"/>
          <w:numId w:val="1026"/>
        </w:numPr>
      </w:pPr>
      <w:r>
        <w:t xml:space="preserve">Command-source separation: Contactor driver stages the independent chain can reach that are commanded from the main microcontroller ≤ 0 stages</w:t>
      </w:r>
    </w:p>
    <w:p>
      <w:pPr>
        <w:pStyle w:val="Compact"/>
        <w:numPr>
          <w:ilvl w:val="1"/>
          <w:numId w:val="1026"/>
        </w:numPr>
      </w:pPr>
      <w:r>
        <w:t xml:space="preserve">Overvoltage threshold accuracy: Difference between the overvoltage threshold realised by the independent comparator chain and the configured cell shutdown threshold ≤ 50 mV</w:t>
      </w:r>
    </w:p>
    <w:p>
      <w:pPr>
        <w:pStyle w:val="Compact"/>
        <w:numPr>
          <w:ilvl w:val="1"/>
          <w:numId w:val="1026"/>
        </w:numPr>
      </w:pPr>
      <w:r>
        <w:t xml:space="preserve">Independent chain diagnosability: Diagnosis entries raised per detected failure of the independent chain itself: supply rail out of range, threshold reference out of range, or self-test failure ≤ 1 entry per detected failure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 references</w:t>
      </w:r>
      <w:r>
        <w:t xml:space="preserve">: —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41"/>
    <w:bookmarkEnd w:id="42"/>
    <w:bookmarkStart w:id="44" w:name="X2d267b6394db0e3b3a7e8bdbd05de8a02bc579a"/>
    <w:p>
      <w:pPr>
        <w:pStyle w:val="Heading3"/>
      </w:pPr>
      <w:r>
        <w:t xml:space="preserve">Software Requirements Without Parent FSR Link</w:t>
      </w:r>
    </w:p>
    <w:bookmarkStart w:id="43" w:name="X1086518f1b29501d8c6c8a0637ce1d975122977"/>
    <w:p>
      <w:pPr>
        <w:pStyle w:val="Heading4"/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— Project Scope: foxBMS 2 Reference BMS Development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Statement</w:t>
      </w:r>
      <w:r>
        <w:t xml:space="preserve">: Develop a reference implementation of a production-intent BMS based on the foxBMS 2 platform, covering all safety-critical functions for a hypothetical 400V/100kWh EV battery pack with ASIL D cell voltage monitoring.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management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Note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 </w:t>
      </w:r>
      <w:r>
        <w:t xml:space="preserve">link to a parent FSR in this profile’s registry.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2026-09-30T01:21:29Z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3"/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Requirements Specification</dc:title>
  <dc:creator>foxBMS 2 Lifecycle Artifact Corpus</dc:creator>
  <cp:keywords/>
  <dcterms:created xsi:type="dcterms:W3CDTF">2026-09-30T01:21:30Z</dcterms:created>
  <dcterms:modified xsi:type="dcterms:W3CDTF">2026-09-30T01:21:30Z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2026-09-30</vt:lpwstr>
  </property>
</Properties>
</file>