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2026-09-13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2026-09-13T02:20:37Z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04"/>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04"/>
        </w:numPr>
      </w:pPr>
      <w:r>
        <w:rPr>
          <w:b/>
          <w:bCs/>
        </w:rPr>
        <w:t xml:space="preserve">Rationale</w:t>
      </w:r>
      <w:r>
        <w:t xml:space="preserve">: Required for SOA monitoring to detect overvoltage/undervoltage within FTTI</w:t>
      </w:r>
    </w:p>
    <w:p>
      <w:pPr>
        <w:pStyle w:val="Compact"/>
        <w:numPr>
          <w:ilvl w:val="0"/>
          <w:numId w:val="1004"/>
        </w:numPr>
      </w:pPr>
      <w:r>
        <w:rPr>
          <w:b/>
          <w:bCs/>
        </w:rPr>
        <w:t xml:space="preserve">ASIL</w:t>
      </w:r>
      <w:r>
        <w:t xml:space="preserve">:</w:t>
      </w:r>
      <w:r>
        <w:t xml:space="preserve"> </w:t>
      </w:r>
      <w:r>
        <w:rPr>
          <w:rStyle w:val="VerbatimChar"/>
        </w:rPr>
        <w:t xml:space="preserve">ASIL_D</w:t>
      </w:r>
    </w:p>
    <w:p>
      <w:pPr>
        <w:pStyle w:val="Compact"/>
        <w:numPr>
          <w:ilvl w:val="0"/>
          <w:numId w:val="1004"/>
        </w:numPr>
      </w:pPr>
      <w:r>
        <w:rPr>
          <w:b/>
          <w:bCs/>
        </w:rPr>
        <w:t xml:space="preserve">Safety goal reference</w:t>
      </w:r>
      <w:r>
        <w:t xml:space="preserve">:</w:t>
      </w:r>
      <w:r>
        <w:t xml:space="preserve"> </w:t>
      </w:r>
      <w:r>
        <w:rPr>
          <w:rStyle w:val="VerbatimChar"/>
        </w:rPr>
        <w:t xml:space="preserve">FB2-SAF-SGO-000001</w:t>
      </w:r>
    </w:p>
    <w:p>
      <w:pPr>
        <w:pStyle w:val="Compact"/>
        <w:numPr>
          <w:ilvl w:val="0"/>
          <w:numId w:val="1004"/>
        </w:numPr>
      </w:pPr>
      <w:r>
        <w:rPr>
          <w:b/>
          <w:bCs/>
        </w:rPr>
        <w:t xml:space="preserve">Acceptance criteria</w:t>
      </w:r>
      <w:r>
        <w:t xml:space="preserve">:</w:t>
      </w:r>
    </w:p>
    <w:p>
      <w:pPr>
        <w:pStyle w:val="Compact"/>
        <w:numPr>
          <w:ilvl w:val="1"/>
          <w:numId w:val="1005"/>
        </w:numPr>
      </w:pPr>
      <w:r>
        <w:t xml:space="preserve">All cell voltages acquired: Cell count match ≤ 100% %</w:t>
      </w:r>
    </w:p>
    <w:p>
      <w:pPr>
        <w:pStyle w:val="Compact"/>
        <w:numPr>
          <w:ilvl w:val="1"/>
          <w:numId w:val="1005"/>
        </w:numPr>
      </w:pPr>
      <w:r>
        <w:t xml:space="preserve">Acquisition period: Period ≤ 50 ms</w:t>
      </w:r>
    </w:p>
    <w:p>
      <w:pPr>
        <w:pStyle w:val="Compact"/>
        <w:numPr>
          <w:ilvl w:val="1"/>
          <w:numId w:val="1005"/>
        </w:numPr>
      </w:pPr>
      <w:r>
        <w:t xml:space="preserve">PEC/CRC validation: Error detection before database write ≤ 100% %</w:t>
      </w:r>
    </w:p>
    <w:p>
      <w:pPr>
        <w:pStyle w:val="Compact"/>
        <w:numPr>
          <w:ilvl w:val="1"/>
          <w:numId w:val="1005"/>
        </w:numPr>
      </w:pPr>
      <w:r>
        <w:t xml:space="preserve">Database publish latency: Time from SPI complete to database write ≤ 25 ms</w:t>
      </w:r>
    </w:p>
    <w:p>
      <w:pPr>
        <w:pStyle w:val="Compact"/>
        <w:numPr>
          <w:ilvl w:val="0"/>
          <w:numId w:val="1004"/>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4"/>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4"/>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06"/>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06"/>
        </w:numPr>
      </w:pPr>
      <w:r>
        <w:rPr>
          <w:b/>
          <w:bCs/>
        </w:rPr>
        <w:t xml:space="preserve">Rationale</w:t>
      </w:r>
      <w:r>
        <w:t xml:space="preserve">: SOA monitoring must detect limit violations fast enough to meet FTTI</w:t>
      </w:r>
    </w:p>
    <w:p>
      <w:pPr>
        <w:pStyle w:val="Compact"/>
        <w:numPr>
          <w:ilvl w:val="0"/>
          <w:numId w:val="1006"/>
        </w:numPr>
      </w:pPr>
      <w:r>
        <w:rPr>
          <w:b/>
          <w:bCs/>
        </w:rPr>
        <w:t xml:space="preserve">ASIL</w:t>
      </w:r>
      <w:r>
        <w:t xml:space="preserve">:</w:t>
      </w:r>
      <w:r>
        <w:t xml:space="preserve"> </w:t>
      </w:r>
      <w:r>
        <w:rPr>
          <w:rStyle w:val="VerbatimChar"/>
        </w:rPr>
        <w:t xml:space="preserve">ASIL_D</w:t>
      </w:r>
    </w:p>
    <w:p>
      <w:pPr>
        <w:pStyle w:val="Compact"/>
        <w:numPr>
          <w:ilvl w:val="0"/>
          <w:numId w:val="1006"/>
        </w:numPr>
      </w:pPr>
      <w:r>
        <w:rPr>
          <w:b/>
          <w:bCs/>
        </w:rPr>
        <w:t xml:space="preserve">Safety goal reference</w:t>
      </w:r>
      <w:r>
        <w:t xml:space="preserve">:</w:t>
      </w:r>
      <w:r>
        <w:t xml:space="preserve"> </w:t>
      </w:r>
      <w:r>
        <w:rPr>
          <w:rStyle w:val="VerbatimChar"/>
        </w:rPr>
        <w:t xml:space="preserve">FB2-SAF-SGO-000001</w:t>
      </w:r>
    </w:p>
    <w:p>
      <w:pPr>
        <w:pStyle w:val="Compact"/>
        <w:numPr>
          <w:ilvl w:val="0"/>
          <w:numId w:val="1006"/>
        </w:numPr>
      </w:pPr>
      <w:r>
        <w:rPr>
          <w:b/>
          <w:bCs/>
        </w:rPr>
        <w:t xml:space="preserve">Acceptance criteria</w:t>
      </w:r>
      <w:r>
        <w:t xml:space="preserve">:</w:t>
      </w:r>
    </w:p>
    <w:p>
      <w:pPr>
        <w:pStyle w:val="Compact"/>
        <w:numPr>
          <w:ilvl w:val="1"/>
          <w:numId w:val="1007"/>
        </w:numPr>
      </w:pPr>
      <w:r>
        <w:t xml:space="preserve">Limit check latency: Time from database read to violation classification ≤ 5 ms</w:t>
      </w:r>
    </w:p>
    <w:p>
      <w:pPr>
        <w:pStyle w:val="Compact"/>
        <w:numPr>
          <w:ilvl w:val="1"/>
          <w:numId w:val="1007"/>
        </w:numPr>
      </w:pPr>
      <w:r>
        <w:t xml:space="preserve">Limit accuracy: Threshold comparison accuracy ≤ 1 mV</w:t>
      </w:r>
    </w:p>
    <w:p>
      <w:pPr>
        <w:pStyle w:val="Compact"/>
        <w:numPr>
          <w:ilvl w:val="1"/>
          <w:numId w:val="1007"/>
        </w:numPr>
      </w:pPr>
      <w:r>
        <w:t xml:space="preserve">Debounce filtering: False positive rate ≤ 0 events/hour</w:t>
      </w:r>
    </w:p>
    <w:p>
      <w:pPr>
        <w:pStyle w:val="Compact"/>
        <w:numPr>
          <w:ilvl w:val="0"/>
          <w:numId w:val="100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6"/>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08"/>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08"/>
        </w:numPr>
      </w:pPr>
      <w:r>
        <w:rPr>
          <w:b/>
          <w:bCs/>
        </w:rPr>
        <w:t xml:space="preserve">Rationale</w:t>
      </w:r>
      <w:r>
        <w:t xml:space="preserve">: Contactor opening is the primary risk reduction measure; must complete within FTTI budget</w:t>
      </w:r>
    </w:p>
    <w:p>
      <w:pPr>
        <w:pStyle w:val="Compact"/>
        <w:numPr>
          <w:ilvl w:val="0"/>
          <w:numId w:val="1008"/>
        </w:numPr>
      </w:pPr>
      <w:r>
        <w:rPr>
          <w:b/>
          <w:bCs/>
        </w:rPr>
        <w:t xml:space="preserve">ASIL</w:t>
      </w:r>
      <w:r>
        <w:t xml:space="preserve">:</w:t>
      </w:r>
      <w:r>
        <w:t xml:space="preserve"> </w:t>
      </w:r>
      <w:r>
        <w:rPr>
          <w:rStyle w:val="VerbatimChar"/>
        </w:rPr>
        <w:t xml:space="preserve">ASIL_D</w:t>
      </w:r>
    </w:p>
    <w:p>
      <w:pPr>
        <w:pStyle w:val="Compact"/>
        <w:numPr>
          <w:ilvl w:val="0"/>
          <w:numId w:val="1008"/>
        </w:numPr>
      </w:pPr>
      <w:r>
        <w:rPr>
          <w:b/>
          <w:bCs/>
        </w:rPr>
        <w:t xml:space="preserve">Safety goal reference</w:t>
      </w:r>
      <w:r>
        <w:t xml:space="preserve">:</w:t>
      </w:r>
      <w:r>
        <w:t xml:space="preserve"> </w:t>
      </w:r>
      <w:r>
        <w:rPr>
          <w:rStyle w:val="VerbatimChar"/>
        </w:rPr>
        <w:t xml:space="preserve">FB2-SAF-SGO-000001</w:t>
      </w:r>
    </w:p>
    <w:p>
      <w:pPr>
        <w:pStyle w:val="Compact"/>
        <w:numPr>
          <w:ilvl w:val="0"/>
          <w:numId w:val="1008"/>
        </w:numPr>
      </w:pPr>
      <w:r>
        <w:rPr>
          <w:b/>
          <w:bCs/>
        </w:rPr>
        <w:t xml:space="preserve">Acceptance criteria</w:t>
      </w:r>
      <w:r>
        <w:t xml:space="preserve">:</w:t>
      </w:r>
    </w:p>
    <w:p>
      <w:pPr>
        <w:pStyle w:val="Compact"/>
        <w:numPr>
          <w:ilvl w:val="1"/>
          <w:numId w:val="1009"/>
        </w:numPr>
      </w:pPr>
      <w:r>
        <w:t xml:space="preserve">Contactor open latency: Time from FAULT request to contactor feedback open ≤ 30 ms</w:t>
      </w:r>
    </w:p>
    <w:p>
      <w:pPr>
        <w:pStyle w:val="Compact"/>
        <w:numPr>
          <w:ilvl w:val="1"/>
          <w:numId w:val="1009"/>
        </w:numPr>
      </w:pPr>
      <w:r>
        <w:t xml:space="preserve">Feedback verification: Auxiliary contact confirmation ≤ 100% %</w:t>
      </w:r>
    </w:p>
    <w:p>
      <w:pPr>
        <w:pStyle w:val="Compact"/>
        <w:numPr>
          <w:ilvl w:val="1"/>
          <w:numId w:val="1009"/>
        </w:numPr>
      </w:pPr>
      <w:r>
        <w:t xml:space="preserve">Weld detection: Weld detection latency ≤ 100 ms</w:t>
      </w:r>
    </w:p>
    <w:p>
      <w:pPr>
        <w:pStyle w:val="Compact"/>
        <w:numPr>
          <w:ilvl w:val="0"/>
          <w:numId w:val="100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08"/>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0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10"/>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and a target contactor opening time of 30 ms.</w:t>
      </w:r>
    </w:p>
    <w:p>
      <w:pPr>
        <w:pStyle w:val="Compact"/>
        <w:numPr>
          <w:ilvl w:val="0"/>
          <w:numId w:val="1010"/>
        </w:numPr>
      </w:pPr>
      <w:r>
        <w:rPr>
          <w:b/>
          <w:bCs/>
        </w:rPr>
        <w:t xml:space="preserve">Rationale</w:t>
      </w:r>
      <w:r>
        <w:t xml:space="preserve">: Hazard mitigation for FB2-SAF-HAZ-000001</w:t>
      </w:r>
    </w:p>
    <w:p>
      <w:pPr>
        <w:pStyle w:val="Compact"/>
        <w:numPr>
          <w:ilvl w:val="0"/>
          <w:numId w:val="1010"/>
        </w:numPr>
      </w:pPr>
      <w:r>
        <w:rPr>
          <w:b/>
          <w:bCs/>
        </w:rPr>
        <w:t xml:space="preserve">ASIL</w:t>
      </w:r>
      <w:r>
        <w:t xml:space="preserve">:</w:t>
      </w:r>
      <w:r>
        <w:t xml:space="preserve"> </w:t>
      </w:r>
      <w:r>
        <w:rPr>
          <w:rStyle w:val="VerbatimChar"/>
        </w:rPr>
        <w:t xml:space="preserve">ASIL_D</w:t>
      </w:r>
    </w:p>
    <w:p>
      <w:pPr>
        <w:pStyle w:val="Compact"/>
        <w:numPr>
          <w:ilvl w:val="0"/>
          <w:numId w:val="1010"/>
        </w:numPr>
      </w:pPr>
      <w:r>
        <w:rPr>
          <w:b/>
          <w:bCs/>
        </w:rPr>
        <w:t xml:space="preserve">FTTI (total)</w:t>
      </w:r>
      <w:r>
        <w:t xml:space="preserve">: 100 ms</w:t>
      </w:r>
    </w:p>
    <w:p>
      <w:pPr>
        <w:pStyle w:val="Compact"/>
        <w:numPr>
          <w:ilvl w:val="0"/>
          <w:numId w:val="1010"/>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=20ms,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10"/>
        </w:numPr>
      </w:pPr>
      <w:r>
        <w:rPr>
          <w:b/>
          <w:bCs/>
        </w:rPr>
        <w:t xml:space="preserve">Safe state</w:t>
      </w:r>
      <w:r>
        <w:t xml:space="preserve">: All HV contactors open, charging disabled, propulsion disabled, fault logged</w:t>
      </w:r>
    </w:p>
    <w:p>
      <w:pPr>
        <w:pStyle w:val="Compact"/>
        <w:numPr>
          <w:ilvl w:val="0"/>
          <w:numId w:val="1010"/>
        </w:numPr>
      </w:pPr>
      <w:r>
        <w:rPr>
          <w:b/>
          <w:bCs/>
        </w:rPr>
        <w:t xml:space="preserve">Degraded state</w:t>
      </w:r>
      <w:r>
        <w:t xml:space="preserve">: Derated charging (0.1C), reduced discharge (0.5C), enhanced monitoring (1 Hz)</w:t>
      </w:r>
    </w:p>
    <w:p>
      <w:pPr>
        <w:pStyle w:val="Compact"/>
        <w:numPr>
          <w:ilvl w:val="0"/>
          <w:numId w:val="1010"/>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0"/>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11"/>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1"/>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11"/>
        </w:numPr>
      </w:pPr>
      <w:r>
        <w:rPr>
          <w:b/>
          <w:bCs/>
        </w:rPr>
        <w:t xml:space="preserve">ASIL</w:t>
      </w:r>
      <w:r>
        <w:t xml:space="preserve">:</w:t>
      </w:r>
      <w:r>
        <w:t xml:space="preserve"> </w:t>
      </w:r>
      <w:r>
        <w:rPr>
          <w:rStyle w:val="VerbatimChar"/>
        </w:rPr>
        <w:t xml:space="preserve">ASIL_D</w:t>
      </w:r>
    </w:p>
    <w:p>
      <w:pPr>
        <w:pStyle w:val="Compact"/>
        <w:numPr>
          <w:ilvl w:val="0"/>
          <w:numId w:val="1011"/>
        </w:numPr>
      </w:pPr>
      <w:r>
        <w:rPr>
          <w:b/>
          <w:bCs/>
        </w:rPr>
        <w:t xml:space="preserve">Safety goal reference</w:t>
      </w:r>
      <w:r>
        <w:t xml:space="preserve">:</w:t>
      </w:r>
      <w:r>
        <w:t xml:space="preserve"> </w:t>
      </w:r>
      <w:r>
        <w:rPr>
          <w:rStyle w:val="VerbatimChar"/>
        </w:rPr>
        <w:t xml:space="preserve">FB2-SAF-SGO-000001</w:t>
      </w:r>
    </w:p>
    <w:p>
      <w:pPr>
        <w:pStyle w:val="Compact"/>
        <w:numPr>
          <w:ilvl w:val="0"/>
          <w:numId w:val="1011"/>
        </w:numPr>
      </w:pPr>
      <w:r>
        <w:rPr>
          <w:b/>
          <w:bCs/>
        </w:rPr>
        <w:t xml:space="preserve">Acceptance criteria</w:t>
      </w:r>
      <w:r>
        <w:t xml:space="preserve">:</w:t>
      </w:r>
    </w:p>
    <w:p>
      <w:pPr>
        <w:pStyle w:val="Compact"/>
        <w:numPr>
          <w:ilvl w:val="1"/>
          <w:numId w:val="1012"/>
        </w:numPr>
      </w:pPr>
      <w:r>
        <w:t xml:space="preserve">All cell voltages acquired: Cell count match ≤ 100% %</w:t>
      </w:r>
    </w:p>
    <w:p>
      <w:pPr>
        <w:pStyle w:val="Compact"/>
        <w:numPr>
          <w:ilvl w:val="1"/>
          <w:numId w:val="1012"/>
        </w:numPr>
      </w:pPr>
      <w:r>
        <w:t xml:space="preserve">Acquisition period: Period ≤ 50 ms</w:t>
      </w:r>
    </w:p>
    <w:p>
      <w:pPr>
        <w:pStyle w:val="Compact"/>
        <w:numPr>
          <w:ilvl w:val="1"/>
          <w:numId w:val="1012"/>
        </w:numPr>
      </w:pPr>
      <w:r>
        <w:t xml:space="preserve">PEC/CRC validation: Error detection before database write ≤ 100% %</w:t>
      </w:r>
    </w:p>
    <w:p>
      <w:pPr>
        <w:pStyle w:val="Compact"/>
        <w:numPr>
          <w:ilvl w:val="1"/>
          <w:numId w:val="1012"/>
        </w:numPr>
      </w:pPr>
      <w:r>
        <w:t xml:space="preserve">Database publish latency: Time from SPI complete to database write ≤ 25 ms</w:t>
      </w:r>
    </w:p>
    <w:p>
      <w:pPr>
        <w:pStyle w:val="Compact"/>
        <w:numPr>
          <w:ilvl w:val="1"/>
          <w:numId w:val="1012"/>
        </w:numPr>
      </w:pPr>
      <w:r>
        <w:t xml:space="preserve">Data freshness: Max age of data at SOA read ≤ 30 ms</w:t>
      </w:r>
    </w:p>
    <w:p>
      <w:pPr>
        <w:pStyle w:val="Compact"/>
        <w:numPr>
          <w:ilvl w:val="0"/>
          <w:numId w:val="101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1"/>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3"/>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3"/>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13"/>
        </w:numPr>
      </w:pPr>
      <w:r>
        <w:rPr>
          <w:b/>
          <w:bCs/>
        </w:rPr>
        <w:t xml:space="preserve">ASIL</w:t>
      </w:r>
      <w:r>
        <w:t xml:space="preserve">:</w:t>
      </w:r>
      <w:r>
        <w:t xml:space="preserve"> </w:t>
      </w:r>
      <w:r>
        <w:rPr>
          <w:rStyle w:val="VerbatimChar"/>
        </w:rPr>
        <w:t xml:space="preserve">ASIL_D</w:t>
      </w:r>
    </w:p>
    <w:p>
      <w:pPr>
        <w:pStyle w:val="Compact"/>
        <w:numPr>
          <w:ilvl w:val="0"/>
          <w:numId w:val="1013"/>
        </w:numPr>
      </w:pPr>
      <w:r>
        <w:rPr>
          <w:b/>
          <w:bCs/>
        </w:rPr>
        <w:t xml:space="preserve">Safety goal reference</w:t>
      </w:r>
      <w:r>
        <w:t xml:space="preserve">:</w:t>
      </w:r>
      <w:r>
        <w:t xml:space="preserve"> </w:t>
      </w:r>
      <w:r>
        <w:rPr>
          <w:rStyle w:val="VerbatimChar"/>
        </w:rPr>
        <w:t xml:space="preserve">FB2-SAF-SGO-000001</w:t>
      </w:r>
    </w:p>
    <w:p>
      <w:pPr>
        <w:pStyle w:val="Compact"/>
        <w:numPr>
          <w:ilvl w:val="0"/>
          <w:numId w:val="1013"/>
        </w:numPr>
      </w:pPr>
      <w:r>
        <w:rPr>
          <w:b/>
          <w:bCs/>
        </w:rPr>
        <w:t xml:space="preserve">Acceptance criteria</w:t>
      </w:r>
      <w:r>
        <w:t xml:space="preserve">:</w:t>
      </w:r>
    </w:p>
    <w:p>
      <w:pPr>
        <w:pStyle w:val="Compact"/>
        <w:numPr>
          <w:ilvl w:val="1"/>
          <w:numId w:val="1014"/>
        </w:numPr>
      </w:pPr>
      <w:r>
        <w:t xml:space="preserve">Limit check latency: Time from database read to violation classification ≤ 5 ms</w:t>
      </w:r>
    </w:p>
    <w:p>
      <w:pPr>
        <w:pStyle w:val="Compact"/>
        <w:numPr>
          <w:ilvl w:val="1"/>
          <w:numId w:val="1014"/>
        </w:numPr>
      </w:pPr>
      <w:r>
        <w:t xml:space="preserve">Limit accuracy: Threshold comparison accuracy ≤ 1 mV</w:t>
      </w:r>
    </w:p>
    <w:p>
      <w:pPr>
        <w:pStyle w:val="Compact"/>
        <w:numPr>
          <w:ilvl w:val="1"/>
          <w:numId w:val="1014"/>
        </w:numPr>
      </w:pPr>
      <w:r>
        <w:t xml:space="preserve">Debounce filtering: False positive rate (Gaussian noise, sigma=5mV) ≤ 1E-6 events/hour</w:t>
      </w:r>
    </w:p>
    <w:p>
      <w:pPr>
        <w:pStyle w:val="Compact"/>
        <w:numPr>
          <w:ilvl w:val="1"/>
          <w:numId w:val="1014"/>
        </w:numPr>
      </w:pPr>
      <w:r>
        <w:t xml:space="preserve">FAULT request latency: Time from confirmed violation to SYS fault request ≤ 2 ms</w:t>
      </w:r>
    </w:p>
    <w:p>
      <w:pPr>
        <w:pStyle w:val="Compact"/>
        <w:numPr>
          <w:ilvl w:val="0"/>
          <w:numId w:val="1013"/>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3"/>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15"/>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15"/>
        </w:numPr>
      </w:pPr>
      <w:r>
        <w:rPr>
          <w:b/>
          <w:bCs/>
        </w:rPr>
        <w:t xml:space="preserve">Rationale</w:t>
      </w:r>
      <w:r>
        <w:t xml:space="preserve">: Contactor opening is the primary risk reduction measure; 30 ms mechanical opening + 5 ms feedback = 35 ms within FTTI budget</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Contactor open latency: Time from FAULT request to contactor feedback open ≤ 30 ms</w:t>
      </w:r>
    </w:p>
    <w:p>
      <w:pPr>
        <w:pStyle w:val="Compact"/>
        <w:numPr>
          <w:ilvl w:val="1"/>
          <w:numId w:val="1016"/>
        </w:numPr>
      </w:pPr>
      <w:r>
        <w:t xml:space="preserve">Feedback verification: Auxiliary contact confirmation ≤ 100% %</w:t>
      </w:r>
    </w:p>
    <w:p>
      <w:pPr>
        <w:pStyle w:val="Compact"/>
        <w:numPr>
          <w:ilvl w:val="1"/>
          <w:numId w:val="1016"/>
        </w:numPr>
      </w:pPr>
      <w:r>
        <w:t xml:space="preserve">Weld detection: Weld detection latency ≤ 50 ms</w:t>
      </w:r>
    </w:p>
    <w:p>
      <w:pPr>
        <w:pStyle w:val="Compact"/>
        <w:numPr>
          <w:ilvl w:val="1"/>
          <w:numId w:val="1016"/>
        </w:numPr>
      </w:pPr>
      <w:r>
        <w:t xml:space="preserve">Coil de-energize command: Time from FAULT request to SBC coil command ≤ 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5"/>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17"/>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17"/>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17"/>
        </w:numPr>
      </w:pPr>
      <w:r>
        <w:rPr>
          <w:b/>
          <w:bCs/>
        </w:rPr>
        <w:t xml:space="preserve">ASIL</w:t>
      </w:r>
      <w:r>
        <w:t xml:space="preserve">:</w:t>
      </w:r>
      <w:r>
        <w:t xml:space="preserve"> </w:t>
      </w:r>
      <w:r>
        <w:rPr>
          <w:rStyle w:val="VerbatimChar"/>
        </w:rPr>
        <w:t xml:space="preserve">ASIL_B</w:t>
      </w:r>
    </w:p>
    <w:p>
      <w:pPr>
        <w:pStyle w:val="Compact"/>
        <w:numPr>
          <w:ilvl w:val="0"/>
          <w:numId w:val="1017"/>
        </w:numPr>
      </w:pPr>
      <w:r>
        <w:rPr>
          <w:b/>
          <w:bCs/>
        </w:rPr>
        <w:t xml:space="preserve">Safety goal reference</w:t>
      </w:r>
      <w:r>
        <w:t xml:space="preserve">:</w:t>
      </w:r>
      <w:r>
        <w:t xml:space="preserve"> </w:t>
      </w:r>
      <w:r>
        <w:rPr>
          <w:rStyle w:val="VerbatimChar"/>
        </w:rPr>
        <w:t xml:space="preserve">FB2-SAF-SGO-000001</w:t>
      </w:r>
    </w:p>
    <w:p>
      <w:pPr>
        <w:pStyle w:val="Compact"/>
        <w:numPr>
          <w:ilvl w:val="0"/>
          <w:numId w:val="1017"/>
        </w:numPr>
      </w:pPr>
      <w:r>
        <w:rPr>
          <w:b/>
          <w:bCs/>
        </w:rPr>
        <w:t xml:space="preserve">Acceptance criteria</w:t>
      </w:r>
      <w:r>
        <w:t xml:space="preserve">:</w:t>
      </w:r>
    </w:p>
    <w:p>
      <w:pPr>
        <w:pStyle w:val="Compact"/>
        <w:numPr>
          <w:ilvl w:val="1"/>
          <w:numId w:val="1018"/>
        </w:numPr>
      </w:pPr>
      <w:r>
        <w:t xml:space="preserve">Independent detection latency: Time from overvoltage to contactor command ≤ 50 ms</w:t>
      </w:r>
    </w:p>
    <w:p>
      <w:pPr>
        <w:pStyle w:val="Compact"/>
        <w:numPr>
          <w:ilvl w:val="1"/>
          <w:numId w:val="1018"/>
        </w:numPr>
      </w:pPr>
      <w:r>
        <w:t xml:space="preserve">Independence: No shared MCU, power supply, or communication with main path ≤ 100% %</w:t>
      </w:r>
    </w:p>
    <w:p>
      <w:pPr>
        <w:pStyle w:val="Compact"/>
        <w:numPr>
          <w:ilvl w:val="1"/>
          <w:numId w:val="1018"/>
        </w:numPr>
      </w:pPr>
      <w:r>
        <w:t xml:space="preserve">Monitoring coverage: Cells monitored ≤ All cells (or representative subset &gt;= 50%) %</w:t>
      </w:r>
    </w:p>
    <w:p>
      <w:pPr>
        <w:pStyle w:val="Compact"/>
        <w:numPr>
          <w:ilvl w:val="1"/>
          <w:numId w:val="1018"/>
        </w:numPr>
      </w:pPr>
      <w:r>
        <w:t xml:space="preserve">Threshold accuracy: Overvoltage threshold accuracy ≤ 50 mV</w:t>
      </w:r>
    </w:p>
    <w:p>
      <w:pPr>
        <w:pStyle w:val="Compact"/>
        <w:numPr>
          <w:ilvl w:val="0"/>
          <w:numId w:val="1017"/>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7"/>
        </w:numPr>
      </w:pPr>
      <w:r>
        <w:rPr>
          <w:b/>
          <w:bCs/>
        </w:rPr>
        <w:t xml:space="preserve">Source references</w:t>
      </w:r>
      <w:r>
        <w:t xml:space="preserve">: —</w:t>
      </w:r>
    </w:p>
    <w:p>
      <w:pPr>
        <w:pStyle w:val="Compact"/>
        <w:numPr>
          <w:ilvl w:val="0"/>
          <w:numId w:val="1017"/>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p>
      <w:r>
        <w:pict>
          <v:rect style="width:0;height:1.5pt" o:hralign="center" o:hrstd="t" o:hr="t"/>
        </w:pict>
      </w:r>
    </w:p>
    <w:p>
      <w:pPr>
        <w:pStyle w:val="FirstParagraph"/>
      </w:pPr>
      <w:r>
        <w:rPr>
          <w:i/>
          <w:iCs/>
        </w:rPr>
        <w:t xml:space="preserve">Generated: 2026-09-13T02:20:37Z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2026-09-13T02:20:39Z</dcterms:created>
  <dcterms:modified xsi:type="dcterms:W3CDTF">2026-09-13T02:20:39Z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2026-09-13</vt:lpwstr>
  </property>
</Properties>
</file>