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Requirements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Xfe7bed4e53f5e4573dd961ca6e61ce47e865d29"/>
    <w:p>
      <w:pPr>
        <w:pStyle w:val="Heading1"/>
      </w:pPr>
      <w:r>
        <w:t xml:space="preserve">foxBMS 2 — Software Requirements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2026-10-01T13:26:59Z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requirements of both corpus profiles (SWRs grouped under their parent FSR with allocation rationale) plus software requirements reverse-engineered from the 40 implemented modules and the diagnosis/SOA configuration.</w:t>
      </w:r>
    </w:p>
    <w:bookmarkEnd w:id="20"/>
    <w:bookmarkStart w:id="21" w:name="X6317600dfe579ae0fcb6f3227648ee40ae6e828"/>
    <w:p>
      <w:pPr>
        <w:pStyle w:val="Heading2"/>
      </w:pPr>
      <w:r>
        <w:t xml:space="preserve">Reverse-Engineered Software Requirements (module-grounded)</w:t>
      </w:r>
    </w:p>
    <w:p>
      <w:pPr>
        <w:pStyle w:val="FirstParagraph"/>
      </w:pPr>
      <w:r>
        <w:t xml:space="preserve">The implemented software directly satisfies the following software requirements. Each requirement cites its implementing module(s) with repository anchors; unit-test evidence is listed per module in the Detailed Design and Implementation Mapping documents.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modules (anchors)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acquire cell voltages and cell temperatures via the AFE daisy-chain and validate them (plausibility, redundancy).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src/app/driver/afe/*</w:t>
            </w:r>
            <w:r>
              <w:t xml:space="preserve"> </w:t>
            </w:r>
            <w:r>
              <w:t xml:space="preserve">(8 AFE drivers),</w:t>
            </w:r>
            <w:r>
              <w:t xml:space="preserve"> </w:t>
            </w:r>
            <w:r>
              <w:rPr>
                <w:rStyle w:val="VerbatimChar"/>
              </w:rPr>
              <w:t xml:space="preserve">src/app/driver/meas/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src/app/application/plausibility/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src/app/application/redundancy/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evaluate the safe operating area (cell voltage, cell temperature, cell/pack current) against MOL/RSL/MSL limits.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src/app/application/soa/soa.c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SOA_*</w:t>
            </w:r>
            <w:r>
              <w:t xml:space="preserve">), config</w:t>
            </w:r>
            <w:r>
              <w:t xml:space="preserve"> </w:t>
            </w:r>
            <w:r>
              <w:rPr>
                <w:rStyle w:val="VerbatimChar"/>
              </w:rPr>
              <w:t xml:space="preserve">battery_cell_cfg.h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detect and classify 85 diagnosis events with configurable severity, latency and occurrence counters.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src/app/engine/diag/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src/app/engine/config/diag_cfg.c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run the BMS state machine (13 states, 34 substates) in the 10 ms task context and reach the safe state (contactors open) on fatal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src/app/application/bms/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src/app/application/config/bms_cfg.h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control string-minus, string-plus and precharge contactors through smart power switches with feedback supervision.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src/app/driver/contactor/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src/app/driver/sps/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interlock line and open the contactors on interlock faults.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src/app/driver/interlock/</w:t>
            </w:r>
            <w:r>
              <w:t xml:space="preserve"> </w:t>
            </w:r>
            <w:r>
              <w:t xml:space="preserve">(ILCK)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balance cells passively (reference strategy: voltage-based).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src/app/application/bal/</w:t>
            </w:r>
            <w:r>
              <w:t xml:space="preserve"> </w:t>
            </w:r>
            <w:r>
              <w:t xml:space="preserve">(strategies:</w:t>
            </w:r>
            <w:r>
              <w:t xml:space="preserve"> </w:t>
            </w:r>
            <w:r>
              <w:rPr>
                <w:rStyle w:val="VerbatimChar"/>
              </w:rPr>
              <w:t xml:space="preserve">none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voltage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estimate SOC/SOE/SOF/SOH (reference: coulomb/energy counting, trapezoid SOF).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src/app/application/algorithm/state_estimation/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algorithm.c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exchange data asynchronously between tasks via the database (single producer, multiple consumers).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src/app/engine/database/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monitor task execution times and supply voltages (system monitoring, FRAM-persisted).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src/app/engine/sys_mon/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src/app/engine/hw_info/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src/app/driver/fram/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communicate on CAN (41 messages) and provide an Ethernet TCP/IP interface for user applications.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src/app/driver/can/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src/app/application/ethernet/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tools/dbc/foxbms.dbc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supervise the system basis chip (SBC) and react to FIN/RSTB errors.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src/app/driver/sbc/</w:t>
            </w:r>
            <w:r>
              <w:t xml:space="preserve"> </w:t>
            </w:r>
            <w:r>
              <w:t xml:space="preserve">(NXP FS85)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provide timekeeping (RTC), port expansion (PEX), humidity/temperature sensing (HTSEN) and debug LEDs on the continuous I2C task.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src/app/driver/rtc/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pex/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htsensor/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support optional insulation monitoring (IMD).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src/app/driver/imd/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SWR-RE-15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software shall be unit-testable: 313 C unit tests run in CI with 100% line/branch coverage policy.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tests/unit/app/**/test_*.c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docs/developer-manual/software/software-testing.rst</w:t>
            </w:r>
          </w:p>
        </w:tc>
      </w:tr>
    </w:tbl>
    <w:bookmarkEnd w:id="21"/>
    <w:bookmarkStart w:id="31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parent-fsr-fb2-saf-fsr-00000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22" w:name="X36acb27f133485f772f0bf1f0ea7c82440a7ced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2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02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02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22"/>
    <w:bookmarkStart w:id="23" w:name="X8ec073acabe5dea54c346595f3a1a17c408468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4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04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04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23"/>
    <w:bookmarkStart w:id="24" w:name="Xa9189893a5e974e8f7c6b24542c8eed4fa851d0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06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06"/>
        </w:numPr>
      </w:pPr>
      <w:r>
        <w:t xml:space="preserve">Database publish latency: Time from SPI complete to database write ≤ 5 ms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24"/>
    <w:bookmarkEnd w:id="25"/>
    <w:bookmarkStart w:id="27" w:name="parent-fsr-fb2-saf-fsr-000002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26" w:name="Xe52e109dfc566de15d580cb068f75bfcd0f4908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limits within 10 ms of data availability, triggering FAULT state on confirmed violation.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Rationale</w:t>
      </w:r>
      <w:r>
        <w:t xml:space="preserve">: SOA software must detect violations and trigger contactor opening within FTTI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Limit check latency: Time from database read to violation classification ≤ 10 ms</w:t>
      </w:r>
    </w:p>
    <w:p>
      <w:pPr>
        <w:pStyle w:val="Compact"/>
        <w:numPr>
          <w:ilvl w:val="1"/>
          <w:numId w:val="1008"/>
        </w:numPr>
      </w:pPr>
      <w:r>
        <w:t xml:space="preserve">Threshold accuracy: Comparison accuracy vs config ≤ 1 mV</w:t>
      </w:r>
    </w:p>
    <w:p>
      <w:pPr>
        <w:pStyle w:val="Compact"/>
        <w:numPr>
          <w:ilvl w:val="1"/>
          <w:numId w:val="1008"/>
        </w:numPr>
      </w:pPr>
      <w:r>
        <w:t xml:space="preserve">FAULT state transition: Time from violation to SYS state FAULT ≤ 5 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FB2-SRC-COD-000010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FB2-ASM-011</w:t>
      </w:r>
    </w:p>
    <w:bookmarkEnd w:id="26"/>
    <w:bookmarkEnd w:id="27"/>
    <w:bookmarkStart w:id="30" w:name="parent-fsr-fb2-saf-fsr-000003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28" w:name="Xd310bafbc9be2066d183f6fe2840dded077cc08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FSR-003 30 ms latency budget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10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10"/>
        </w:numPr>
      </w:pPr>
      <w:r>
        <w:t xml:space="preserve">Weld detection: Feedback mismatch detection time ≤ 100 ms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28"/>
    <w:bookmarkStart w:id="29" w:name="Xdaff8bb06108fdfef4cbb58e34fce528affddd4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12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12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29"/>
    <w:bookmarkEnd w:id="30"/>
    <w:bookmarkEnd w:id="31"/>
    <w:bookmarkStart w:id="45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35" w:name="parent-fsr-fb2-saf-fsr-000001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FB2-SAF-FSR-000001</w:t>
      </w:r>
    </w:p>
    <w:bookmarkStart w:id="32" w:name="Xe64e4e0f1b32f11fc46219021901ae70043a329"/>
    <w:p>
      <w:pPr>
        <w:pStyle w:val="Heading4"/>
      </w:pPr>
      <w:r>
        <w:rPr>
          <w:rStyle w:val="VerbatimChar"/>
        </w:rPr>
        <w:t xml:space="preserve">FB2-HW-TSR-000001</w:t>
      </w:r>
      <w:r>
        <w:t xml:space="preserve"> </w:t>
      </w:r>
      <w:r>
        <w:t xml:space="preserve">— TSR: AFE Cell Voltage Measurement Accuracy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FB2-LNK-SAF-000005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Statement</w:t>
      </w:r>
      <w:r>
        <w:t xml:space="preserve">: The AFE shall measure cell voltages with ±1.5 mV accuracy (including calibration) over -40°C to +85°C for 2.5V-4.2V range.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Rationale</w:t>
      </w:r>
      <w:r>
        <w:t xml:space="preserve">: Required to support SOA limit detection with 1 mV threshold accuracy (FSR-002)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Measurement accuracy: Total error (offset + gain + temp drift) ≤ 1.5 mV</w:t>
      </w:r>
    </w:p>
    <w:p>
      <w:pPr>
        <w:pStyle w:val="Compact"/>
        <w:numPr>
          <w:ilvl w:val="1"/>
          <w:numId w:val="1014"/>
        </w:numPr>
      </w:pPr>
      <w:r>
        <w:t xml:space="preserve">Resolution: LSB size ≤ 0.5 mV</w:t>
      </w:r>
    </w:p>
    <w:p>
      <w:pPr>
        <w:pStyle w:val="Compact"/>
        <w:numPr>
          <w:ilvl w:val="1"/>
          <w:numId w:val="1014"/>
        </w:numPr>
      </w:pPr>
      <w:r>
        <w:t xml:space="preserve">PEC error detection: Single-bit error detection ≤ 100% %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FB2-SRC-COD-000001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FB2-ASM-007</w:t>
      </w:r>
    </w:p>
    <w:bookmarkEnd w:id="32"/>
    <w:bookmarkStart w:id="33" w:name="Xbc70feb0eb1681c6e275f2a7ab056cdc01456d5"/>
    <w:p>
      <w:pPr>
        <w:pStyle w:val="Heading4"/>
      </w:pPr>
      <w:r>
        <w:rPr>
          <w:rStyle w:val="VerbatimChar"/>
        </w:rPr>
        <w:t xml:space="preserve">FB2-HW-TSR-000002</w:t>
      </w:r>
      <w:r>
        <w:t xml:space="preserve"> </w:t>
      </w:r>
      <w:r>
        <w:t xml:space="preserve">— TSR: AFE isoSPI Communication Integrity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FB2-LNK-SAF-000006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Statement</w:t>
      </w:r>
      <w:r>
        <w:t xml:space="preserve">: The isoSPI interface shall provide communication with BER &lt; 10^-9 and detect communication failures within 5 ms.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Rationale</w:t>
      </w:r>
      <w:r>
        <w:t xml:space="preserve">: Communication failures must be detected within FTTI budget for AFE data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t xml:space="preserve">Bit error rate: BER under EMC conditions ≤ 1E-9 errors/bit</w:t>
      </w:r>
    </w:p>
    <w:p>
      <w:pPr>
        <w:pStyle w:val="Compact"/>
        <w:numPr>
          <w:ilvl w:val="1"/>
          <w:numId w:val="1016"/>
        </w:numPr>
      </w:pPr>
      <w:r>
        <w:t xml:space="preserve">Failure detection time: Time from communication loss to SW notification ≤ 5 ms</w:t>
      </w:r>
    </w:p>
    <w:p>
      <w:pPr>
        <w:pStyle w:val="Compact"/>
        <w:numPr>
          <w:ilvl w:val="1"/>
          <w:numId w:val="1016"/>
        </w:numPr>
      </w:pPr>
      <w:r>
        <w:t xml:space="preserve">CRC coverage: CRC polynomial coverage ≤ 100% %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FB2-SRC-HW-000003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33"/>
    <w:bookmarkStart w:id="34" w:name="Xcc999876cd39e96bf21d12864f25ede8a276e25"/>
    <w:p>
      <w:pPr>
        <w:pStyle w:val="Heading4"/>
      </w:pPr>
      <w:r>
        <w:rPr>
          <w:rStyle w:val="VerbatimChar"/>
        </w:rPr>
        <w:t xml:space="preserve">FB2-SW-SWR-000001</w:t>
      </w:r>
      <w:r>
        <w:t xml:space="preserve"> </w:t>
      </w:r>
      <w:r>
        <w:t xml:space="preserve">— SWR: AFE Driver - Cell Voltage Acquisition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FB2-SAF-FSR-000001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Statement</w:t>
      </w:r>
      <w:r>
        <w:t xml:space="preserve">: The AFE driver shall trigger SPI/DMA acquisition of all cell voltages at 20 Hz, validate PEC/CRC, and publish to database within 5 ms of acquisition complete.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Rationale</w:t>
      </w:r>
      <w:r>
        <w:t xml:space="preserve">: Software must acquire and validate AFE data within FTTI budget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18"/>
        </w:numPr>
      </w:pPr>
      <w:r>
        <w:t xml:space="preserve">Acquisition period: Timer period ≤ 50 ms</w:t>
      </w:r>
    </w:p>
    <w:p>
      <w:pPr>
        <w:pStyle w:val="Compact"/>
        <w:numPr>
          <w:ilvl w:val="1"/>
          <w:numId w:val="1018"/>
        </w:numPr>
      </w:pPr>
      <w:r>
        <w:t xml:space="preserve">PEC/CRC validation: Error detection before database write ≤ 100% %</w:t>
      </w:r>
    </w:p>
    <w:p>
      <w:pPr>
        <w:pStyle w:val="Compact"/>
        <w:numPr>
          <w:ilvl w:val="1"/>
          <w:numId w:val="1018"/>
        </w:numPr>
      </w:pPr>
      <w:r>
        <w:t xml:space="preserve">Database publish latency: Time from SPI complete to database write ≤ 25 ms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FB2-SRC-COD-000002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FB2-SRC-COD-000023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FB2-ASM-010</w:t>
      </w:r>
    </w:p>
    <w:bookmarkEnd w:id="34"/>
    <w:bookmarkEnd w:id="35"/>
    <w:bookmarkStart w:id="37" w:name="parent-fsr-fb2-saf-fsr-000002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FB2-SAF-FSR-000002</w:t>
      </w:r>
    </w:p>
    <w:bookmarkStart w:id="36" w:name="Xf81c887a44912b68bdef6c94decbd98a3cc54d0"/>
    <w:p>
      <w:pPr>
        <w:pStyle w:val="Heading4"/>
      </w:pPr>
      <w:r>
        <w:rPr>
          <w:rStyle w:val="VerbatimChar"/>
        </w:rPr>
        <w:t xml:space="preserve">FB2-SW-SWR-000002</w:t>
      </w:r>
      <w:r>
        <w:t xml:space="preserve"> </w:t>
      </w:r>
      <w:r>
        <w:t xml:space="preserve">— SWR: SOA Voltage Limit Monitoring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FB2-SAF-FSR-000002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FB2-LNK-SAF-000009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Statement</w:t>
      </w:r>
      <w:r>
        <w:t xml:space="preserve">: The SOA module shall read cell voltages from database and compare against configured minimum (2.5V) and maximum (4.2V) limits with a debounce of 2 consecutive violations within 100 ms, and classify violations within 5 ms of data availability, triggering FAULT state request on confirmed violation.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Rationale</w:t>
      </w:r>
      <w:r>
        <w:t xml:space="preserve">: SOA monitoring must detect limit violations fast enough to meet FTTI. Debounce of 2 violations in 100 ms balances false positives vs detection latency (statistical analysis shows &lt; 1e-6 false positive rate for Gaussian noise sigma=5mV).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Limit check latency: Time from database read to violation classification ≤ 5 ms</w:t>
      </w:r>
    </w:p>
    <w:p>
      <w:pPr>
        <w:pStyle w:val="Compact"/>
        <w:numPr>
          <w:ilvl w:val="1"/>
          <w:numId w:val="1020"/>
        </w:numPr>
      </w:pPr>
      <w:r>
        <w:t xml:space="preserve">Limit accuracy: Threshold comparison accuracy ≤ 1 mV</w:t>
      </w:r>
    </w:p>
    <w:p>
      <w:pPr>
        <w:pStyle w:val="Compact"/>
        <w:numPr>
          <w:ilvl w:val="1"/>
          <w:numId w:val="1020"/>
        </w:numPr>
      </w:pPr>
      <w:r>
        <w:t xml:space="preserve">Debounce filtering: False positive rate (Gaussian noise, sigma=5mV) ≤ 1E-6 events/hour</w:t>
      </w:r>
    </w:p>
    <w:p>
      <w:pPr>
        <w:pStyle w:val="Compact"/>
        <w:numPr>
          <w:ilvl w:val="1"/>
          <w:numId w:val="1020"/>
        </w:numPr>
      </w:pPr>
      <w:r>
        <w:t xml:space="preserve">FAULT request latency: Time from confirmed violation to SYS fault request ≤ 2 ms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FB2-SRC-COD-000004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FB2-SRC-COD-000006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FB2-ASM-005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FB2-ASM-006</w:t>
      </w:r>
    </w:p>
    <w:bookmarkEnd w:id="36"/>
    <w:bookmarkEnd w:id="37"/>
    <w:bookmarkStart w:id="40" w:name="parent-fsr-fb2-saf-fsr-000003-1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FB2-SAF-FSR-000003</w:t>
      </w:r>
    </w:p>
    <w:bookmarkStart w:id="38" w:name="Xa2b1213ed28311afe05a39c97fbf4594296e28b"/>
    <w:p>
      <w:pPr>
        <w:pStyle w:val="Heading4"/>
      </w:pPr>
      <w:r>
        <w:rPr>
          <w:rStyle w:val="VerbatimChar"/>
        </w:rPr>
        <w:t xml:space="preserve">FB2-HW-TSR-000003</w:t>
      </w:r>
      <w:r>
        <w:t xml:space="preserve"> </w:t>
      </w:r>
      <w:r>
        <w:t xml:space="preserve">— TSR: Contactor Driver and Feedback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FB2-LNK-SAF-000007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Statement</w:t>
      </w:r>
      <w:r>
        <w:t xml:space="preserve">: The SBC (FS85xx) shall drive contactor coils with controlled slew rate and monitor auxiliary feedback contacts with &lt; 2 ms latency.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Rationale</w:t>
      </w:r>
      <w:r>
        <w:t xml:space="preserve">: Contactor control and feedback monitoring must meet the FB2-SAF-FSR-000003 reaction budget: 5 ms coil command plus 30 ms mechanical opening (FB2-PRM-000005) reaches the mechanically open state 35 ms after the fault request, and 5 ms of auxiliary feedback confirmation completes the reaction 40 ms after it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Coil drive slew rate: dV/dt at coil terminals ≤ 50 V/ms</w:t>
      </w:r>
    </w:p>
    <w:p>
      <w:pPr>
        <w:pStyle w:val="Compact"/>
        <w:numPr>
          <w:ilvl w:val="1"/>
          <w:numId w:val="1022"/>
        </w:numPr>
      </w:pPr>
      <w:r>
        <w:t xml:space="preserve">Feedback latency: Time from contactor state change to SW notification ≤ 2 ms</w:t>
      </w:r>
    </w:p>
    <w:p>
      <w:pPr>
        <w:pStyle w:val="Compact"/>
        <w:numPr>
          <w:ilvl w:val="1"/>
          <w:numId w:val="1022"/>
        </w:numPr>
      </w:pPr>
      <w:r>
        <w:t xml:space="preserve">Weld detection: Feedback mismatch detection time. The criterion is the weld detection budget of the actuated path and is deliberately not the reaction budget of FB2-SAF-FSR-000003, which is 40 ms end to end; see find… ≤ 100 ms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FB2-SRC-HW-000001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FB2-SRC-COD-000027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FB2-ASM-009</w:t>
      </w:r>
    </w:p>
    <w:bookmarkEnd w:id="38"/>
    <w:bookmarkStart w:id="39" w:name="X40ca07af6c195e3ccd5e76efc375660f636d2b7"/>
    <w:p>
      <w:pPr>
        <w:pStyle w:val="Heading4"/>
      </w:pPr>
      <w:r>
        <w:rPr>
          <w:rStyle w:val="VerbatimChar"/>
        </w:rPr>
        <w:t xml:space="preserve">FB2-SW-SWR-000003</w:t>
      </w:r>
      <w:r>
        <w:t xml:space="preserve"> </w:t>
      </w:r>
      <w:r>
        <w:t xml:space="preserve">— SWR: Contactor State Machine and Fault Response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FB2-SAF-FSR-000003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FB2-LNK-SAF-000010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Software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Statement</w:t>
      </w:r>
      <w:r>
        <w:t xml:space="preserve">: The contactor driver shall execute state machine (OPEN -&gt; PRECHARGE -&gt; CLOSE -&gt; HOLD) and open contactors within 5 ms of FAULT state request from SOA/DIAG.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Rationale</w:t>
      </w:r>
      <w:r>
        <w:t xml:space="preserve">: Contactor software must respond to SOA violations within FTTI budget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Fault response latency: Time from FAULT request to coil de-energize command ≤ 5 ms</w:t>
      </w:r>
    </w:p>
    <w:p>
      <w:pPr>
        <w:pStyle w:val="Compact"/>
        <w:numPr>
          <w:ilvl w:val="1"/>
          <w:numId w:val="1024"/>
        </w:numPr>
      </w:pPr>
      <w:r>
        <w:t xml:space="preserve">Feedback verification: Auxiliary contact readback after command ≤ 100% %</w:t>
      </w:r>
    </w:p>
    <w:p>
      <w:pPr>
        <w:pStyle w:val="Compact"/>
        <w:numPr>
          <w:ilvl w:val="1"/>
          <w:numId w:val="1024"/>
        </w:numPr>
      </w:pPr>
      <w:r>
        <w:t xml:space="preserve">State machine correctness: Valid transitions only ≤ 100% %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Source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FB2-SRC-COD-000008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FB2-SRC-COD-000009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FB2-SRC-COD-000013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FB2-ASM-012</w:t>
      </w:r>
    </w:p>
    <w:bookmarkEnd w:id="39"/>
    <w:bookmarkEnd w:id="40"/>
    <w:bookmarkStart w:id="42" w:name="parent-fsr-fb2-saf-fsr-000004"/>
    <w:p>
      <w:pPr>
        <w:pStyle w:val="Heading3"/>
      </w:pPr>
      <w:r>
        <w:t xml:space="preserve">Parent FSR:</w:t>
      </w:r>
      <w:r>
        <w:t xml:space="preserve"> </w:t>
      </w:r>
      <w:r>
        <w:rPr>
          <w:rStyle w:val="VerbatimChar"/>
        </w:rPr>
        <w:t xml:space="preserve">FB2-SAF-FSR-000004</w:t>
      </w:r>
    </w:p>
    <w:bookmarkStart w:id="41" w:name="Xabc5344f6eada92d16d76050362aecd62a4caff"/>
    <w:p>
      <w:pPr>
        <w:pStyle w:val="Heading4"/>
      </w:pPr>
      <w:r>
        <w:rPr>
          <w:rStyle w:val="VerbatimChar"/>
        </w:rPr>
        <w:t xml:space="preserve">FB2-HW-TSR-000004</w:t>
      </w:r>
      <w:r>
        <w:t xml:space="preserve"> </w:t>
      </w:r>
      <w:r>
        <w:t xml:space="preserve">— TSR: Independent Hardware Voltage Monitor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Allocated to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FB2-SAF-FSR-000004</w:t>
      </w:r>
      <w:r>
        <w:t xml:space="preserve"> </w:t>
      </w:r>
      <w:r>
        <w:t xml:space="preserve">(link</w:t>
      </w:r>
      <w:r>
        <w:t xml:space="preserve"> </w:t>
      </w:r>
      <w:r>
        <w:rPr>
          <w:rStyle w:val="VerbatimChar"/>
        </w:rPr>
        <w:t xml:space="preserve">FB2-LNK-SAF-000058</w:t>
      </w:r>
      <w:r>
        <w:t xml:space="preserve">, rationale:</w:t>
      </w:r>
      <w:r>
        <w:t xml:space="preserve"> </w:t>
      </w:r>
      <w:r>
        <w:t xml:space="preserve">“</w:t>
      </w:r>
      <w:r>
        <w:t xml:space="preserve">Hardware requirement allocated from functional safety requirement</w:t>
      </w:r>
      <w:r>
        <w:t xml:space="preserve">”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Statement</w:t>
      </w:r>
      <w:r>
        <w:t xml:space="preserve">: The hardware shall realise the ASIL B overvoltage reaction as a discrete chain separate from the main measurement chain: every cell monitored by the main chain shall be divided by a dedicated divider network into a comparator that holds its own overvoltage threshold reference on a supply rail not shared with the main chain, and the comparator output shall drive a contactor driver stage whose command is not sourced from the main microcontroller. No divider, reference, comparator, driver or supply…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Rationale</w:t>
      </w:r>
      <w:r>
        <w:t xml:space="preserve">: Hardware realisation of the second barrier required by FB2-SAF-FSR-000004, decomposed at system level by FB2-SYS-SYR-000005 and allocated to element AR-005 of FB2-SAF-TSC-000001. Freedom from interference for the ASIL D cell-voltage goal rests on this chain sharing no measurement, reference, supply or command resource with the main chain: as allocated in FB2-SAF-SGO-000001 the main path is 85 ms o…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safety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ASIL</w:t>
      </w:r>
      <w:r>
        <w:t xml:space="preserve">:</w:t>
      </w:r>
      <w:r>
        <w:t xml:space="preserve"> </w:t>
      </w:r>
      <w:r>
        <w:rPr>
          <w:rStyle w:val="VerbatimChar"/>
        </w:rPr>
        <w:t xml:space="preserve">ASIL_B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Acceptance criteria</w:t>
      </w:r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Independent chain coverage: Cells in the pack that the main measurement chain monitors and that the independent divider network also measures, as a fraction of that monitored set ≤ 100 %</w:t>
      </w:r>
    </w:p>
    <w:p>
      <w:pPr>
        <w:pStyle w:val="Compact"/>
        <w:numPr>
          <w:ilvl w:val="1"/>
          <w:numId w:val="1026"/>
        </w:numPr>
      </w:pPr>
      <w:r>
        <w:t xml:space="preserve">Independent chain detection latency: Time from the independent comparator’s threshold being exceeded to the contactor driver command at the coil ≤ 50 ms</w:t>
      </w:r>
    </w:p>
    <w:p>
      <w:pPr>
        <w:pStyle w:val="Compact"/>
        <w:numPr>
          <w:ilvl w:val="1"/>
          <w:numId w:val="1026"/>
        </w:numPr>
      </w:pPr>
      <w:r>
        <w:t xml:space="preserve">Supply-rail separation: Supply rails common to the independent chain and the main measurement chain ≤ 0 rails</w:t>
      </w:r>
    </w:p>
    <w:p>
      <w:pPr>
        <w:pStyle w:val="Compact"/>
        <w:numPr>
          <w:ilvl w:val="1"/>
          <w:numId w:val="1026"/>
        </w:numPr>
      </w:pPr>
      <w:r>
        <w:t xml:space="preserve">Threshold-reference separation: Overvoltage threshold references common to the independent chain and the main chain ≤ 0 references</w:t>
      </w:r>
    </w:p>
    <w:p>
      <w:pPr>
        <w:pStyle w:val="Compact"/>
        <w:numPr>
          <w:ilvl w:val="1"/>
          <w:numId w:val="1026"/>
        </w:numPr>
      </w:pPr>
      <w:r>
        <w:t xml:space="preserve">Command-source separation: Contactor driver stages the independent chain can reach that are commanded from the main microcontroller ≤ 0 stages</w:t>
      </w:r>
    </w:p>
    <w:p>
      <w:pPr>
        <w:pStyle w:val="Compact"/>
        <w:numPr>
          <w:ilvl w:val="1"/>
          <w:numId w:val="1026"/>
        </w:numPr>
      </w:pPr>
      <w:r>
        <w:t xml:space="preserve">Overvoltage threshold accuracy: Difference between the overvoltage threshold realised by the independent comparator chain and the configured cell shutdown threshold ≤ 50 mV</w:t>
      </w:r>
    </w:p>
    <w:p>
      <w:pPr>
        <w:pStyle w:val="Compact"/>
        <w:numPr>
          <w:ilvl w:val="1"/>
          <w:numId w:val="1026"/>
        </w:numPr>
      </w:pPr>
      <w:r>
        <w:t xml:space="preserve">Independent chain diagnosability: Diagnosis entries raised per detected failure of the independent chain itself: supply rail out of range, threshold reference out of range, or self-test failure ≤ 1 entry per detected failure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Source references</w:t>
      </w:r>
      <w:r>
        <w:t xml:space="preserve">: —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Assumption references</w:t>
      </w:r>
      <w:r>
        <w:t xml:space="preserve">:</w:t>
      </w:r>
      <w:r>
        <w:t xml:space="preserve"> </w:t>
      </w:r>
      <w:r>
        <w:rPr>
          <w:rStyle w:val="VerbatimChar"/>
        </w:rPr>
        <w:t xml:space="preserve">FB2-ASM-008</w:t>
      </w:r>
    </w:p>
    <w:bookmarkEnd w:id="41"/>
    <w:bookmarkEnd w:id="42"/>
    <w:bookmarkStart w:id="44" w:name="X2d267b6394db0e3b3a7e8bdbd05de8a02bc579a"/>
    <w:p>
      <w:pPr>
        <w:pStyle w:val="Heading3"/>
      </w:pPr>
      <w:r>
        <w:t xml:space="preserve">Software Requirements Without Parent FSR Link</w:t>
      </w:r>
    </w:p>
    <w:bookmarkStart w:id="43" w:name="X1086518f1b29501d8c6c8a0637ce1d975122977"/>
    <w:p>
      <w:pPr>
        <w:pStyle w:val="Heading4"/>
      </w:pPr>
      <w:r>
        <w:rPr>
          <w:rStyle w:val="VerbatimChar"/>
        </w:rPr>
        <w:t xml:space="preserve">FB2-MAN-SCO-000001</w:t>
      </w:r>
      <w:r>
        <w:t xml:space="preserve"> </w:t>
      </w:r>
      <w:r>
        <w:t xml:space="preserve">— Project Scope: foxBMS 2 Reference BMS Development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Statement</w:t>
      </w:r>
      <w:r>
        <w:t xml:space="preserve">: Develop a reference implementation of a production-intent BMS based on the foxBMS 2 platform, covering all safety-critical functions for a hypothetical 400V/100kWh EV battery pack with ASIL D cell voltage monitoring.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Classification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management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synthetic_reference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Note</w:t>
      </w:r>
      <w:r>
        <w:t xml:space="preserve">: no</w:t>
      </w:r>
      <w:r>
        <w:t xml:space="preserve"> </w:t>
      </w:r>
      <w:r>
        <w:rPr>
          <w:rStyle w:val="VerbatimChar"/>
        </w:rPr>
        <w:t xml:space="preserve">allocated_to</w:t>
      </w:r>
      <w:r>
        <w:t xml:space="preserve"> </w:t>
      </w:r>
      <w:r>
        <w:t xml:space="preserve">link to a parent FSR in this profile’s registry.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2026-10-01T13:26:59Z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3"/>
    <w:bookmarkEnd w:id="44"/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Requirements Specification</dc:title>
  <dc:creator>foxBMS 2 Lifecycle Artifact Corpus</dc:creator>
  <cp:keywords/>
  <dcterms:created xsi:type="dcterms:W3CDTF">2026-10-01T13:27:01Z</dcterms:created>
  <dcterms:modified xsi:type="dcterms:W3CDTF">2026-10-01T13:27:01Z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