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B4" w:rsidRPr="001206B4" w:rsidRDefault="001206B4" w:rsidP="001206B4">
      <w:pPr>
        <w:shd w:val="clear" w:color="auto" w:fill="FFFFFF"/>
        <w:spacing w:before="150" w:after="300" w:line="240" w:lineRule="auto"/>
        <w:outlineLvl w:val="1"/>
        <w:rPr>
          <w:rFonts w:ascii="Palatino Linotype" w:eastAsia="Times New Roman" w:hAnsi="Palatino Linotype" w:cs="Times New Roman"/>
          <w:color w:val="111111"/>
          <w:spacing w:val="-10"/>
          <w:sz w:val="45"/>
          <w:szCs w:val="45"/>
        </w:rPr>
      </w:pPr>
      <w:r w:rsidRPr="001206B4">
        <w:rPr>
          <w:rFonts w:ascii="Palatino Linotype" w:eastAsia="Times New Roman" w:hAnsi="Palatino Linotype" w:cs="Times New Roman"/>
          <w:color w:val="111111"/>
          <w:spacing w:val="-10"/>
          <w:sz w:val="45"/>
          <w:szCs w:val="45"/>
        </w:rPr>
        <w:t>Jenkins and Deployment Pipelines</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In the previous post, I described deploym</w:t>
      </w:r>
      <w:bookmarkStart w:id="0" w:name="_GoBack"/>
      <w:bookmarkEnd w:id="0"/>
      <w:r w:rsidRPr="001206B4">
        <w:rPr>
          <w:rFonts w:ascii="Helvetica" w:eastAsia="Times New Roman" w:hAnsi="Helvetica" w:cs="Helvetica"/>
          <w:color w:val="555555"/>
          <w:sz w:val="20"/>
        </w:rPr>
        <w:t>ent pipelines and mentioned how you need a controller to drive software releases through each stage of the pipeline. This component is typically a Jenkins CI/CD server, although Jenkins’ built-in capabilities to capture pipelines of deployment activity are rather limited. There is an open source </w:t>
      </w:r>
      <w:hyperlink r:id="rId4" w:history="1">
        <w:r w:rsidRPr="001206B4">
          <w:rPr>
            <w:rFonts w:ascii="Helvetica" w:eastAsia="Times New Roman" w:hAnsi="Helvetica" w:cs="Helvetica"/>
            <w:color w:val="20A3CA"/>
            <w:sz w:val="20"/>
            <w:u w:val="single"/>
          </w:rPr>
          <w:t>Build Pipeline</w:t>
        </w:r>
      </w:hyperlink>
      <w:r w:rsidRPr="001206B4">
        <w:rPr>
          <w:rFonts w:ascii="Helvetica" w:eastAsia="Times New Roman" w:hAnsi="Helvetica" w:cs="Helvetica"/>
          <w:color w:val="555555"/>
          <w:sz w:val="20"/>
        </w:rPr>
        <w:t xml:space="preserve"> plugin that gets the job done, for the most part. Other commercial tools in this area include: </w:t>
      </w:r>
      <w:proofErr w:type="spellStart"/>
      <w:r w:rsidRPr="001206B4">
        <w:rPr>
          <w:rFonts w:ascii="Helvetica" w:eastAsia="Times New Roman" w:hAnsi="Helvetica" w:cs="Helvetica"/>
          <w:color w:val="555555"/>
          <w:sz w:val="20"/>
        </w:rPr>
        <w:t>Atlassian</w:t>
      </w:r>
      <w:proofErr w:type="spellEnd"/>
      <w:r w:rsidRPr="001206B4">
        <w:rPr>
          <w:rFonts w:ascii="Helvetica" w:eastAsia="Times New Roman" w:hAnsi="Helvetica" w:cs="Helvetica"/>
          <w:color w:val="555555"/>
          <w:sz w:val="20"/>
        </w:rPr>
        <w:t xml:space="preserve"> Bamboo, </w:t>
      </w:r>
      <w:proofErr w:type="spellStart"/>
      <w:r w:rsidRPr="001206B4">
        <w:rPr>
          <w:rFonts w:ascii="Helvetica" w:eastAsia="Times New Roman" w:hAnsi="Helvetica" w:cs="Helvetica"/>
          <w:color w:val="555555"/>
          <w:sz w:val="20"/>
        </w:rPr>
        <w:t>ThoughtWorks</w:t>
      </w:r>
      <w:proofErr w:type="spellEnd"/>
      <w:r w:rsidRPr="001206B4">
        <w:rPr>
          <w:rFonts w:ascii="Helvetica" w:eastAsia="Times New Roman" w:hAnsi="Helvetica" w:cs="Helvetica"/>
          <w:color w:val="555555"/>
          <w:sz w:val="20"/>
        </w:rPr>
        <w:t xml:space="preserve"> Go, and </w:t>
      </w:r>
      <w:proofErr w:type="spellStart"/>
      <w:r w:rsidRPr="001206B4">
        <w:rPr>
          <w:rFonts w:ascii="Helvetica" w:eastAsia="Times New Roman" w:hAnsi="Helvetica" w:cs="Helvetica"/>
          <w:color w:val="555555"/>
          <w:sz w:val="20"/>
        </w:rPr>
        <w:t>XebiaLabs</w:t>
      </w:r>
      <w:proofErr w:type="spellEnd"/>
      <w:r w:rsidRPr="001206B4">
        <w:rPr>
          <w:rFonts w:ascii="Helvetica" w:eastAsia="Times New Roman" w:hAnsi="Helvetica" w:cs="Helvetica"/>
          <w:color w:val="555555"/>
          <w:sz w:val="20"/>
        </w:rPr>
        <w:t xml:space="preserve"> </w:t>
      </w:r>
      <w:proofErr w:type="spellStart"/>
      <w:r w:rsidRPr="001206B4">
        <w:rPr>
          <w:rFonts w:ascii="Helvetica" w:eastAsia="Times New Roman" w:hAnsi="Helvetica" w:cs="Helvetica"/>
          <w:color w:val="555555"/>
          <w:sz w:val="20"/>
        </w:rPr>
        <w:t>XLRelease</w:t>
      </w:r>
      <w:proofErr w:type="spellEnd"/>
      <w:r w:rsidRPr="001206B4">
        <w:rPr>
          <w:rFonts w:ascii="Helvetica" w:eastAsia="Times New Roman" w:hAnsi="Helvetica" w:cs="Helvetica"/>
          <w:color w:val="555555"/>
          <w:sz w:val="20"/>
        </w:rPr>
        <w:t>.</w:t>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This is a screenshot from the Jenkins Build Pipeline plugin that shows various pipelines in progress.</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noProof/>
          <w:color w:val="20A3CA"/>
          <w:sz w:val="20"/>
        </w:rPr>
        <w:drawing>
          <wp:inline distT="0" distB="0" distL="0" distR="0" wp14:anchorId="08713742" wp14:editId="3FD39D46">
            <wp:extent cx="5905500" cy="3810000"/>
            <wp:effectExtent l="0" t="0" r="0" b="0"/>
            <wp:docPr id="26" name="Picture 26" descr="b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810000"/>
                    </a:xfrm>
                    <a:prstGeom prst="rect">
                      <a:avLst/>
                    </a:prstGeom>
                    <a:noFill/>
                    <a:ln>
                      <a:noFill/>
                    </a:ln>
                  </pic:spPr>
                </pic:pic>
              </a:graphicData>
            </a:graphic>
          </wp:inline>
        </w:drawing>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It helpfully color codes the status of each stage of each pipeline, and, combined with Jenkins itself, allows you to do role-based access to control how and when jobs are launched and restarted. Most importantly, it allows you to capture a flow of build jobs, from stage to stage. Stages can be configured to automatically begin based on successful completion of the stage preceding it or they can require manual push button approval to proceed.</w:t>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The Build Pipeline tool enables us to capture each of the deployment stages shown below:</w:t>
      </w:r>
    </w:p>
    <w:p w:rsidR="001206B4" w:rsidRPr="001206B4" w:rsidRDefault="001206B4" w:rsidP="001206B4">
      <w:pPr>
        <w:shd w:val="clear" w:color="auto" w:fill="FFFFFF"/>
        <w:spacing w:before="450" w:after="225" w:line="240" w:lineRule="auto"/>
        <w:outlineLvl w:val="1"/>
        <w:rPr>
          <w:rFonts w:ascii="Helvetica" w:eastAsia="Times New Roman" w:hAnsi="Helvetica" w:cs="Helvetica"/>
          <w:b/>
          <w:bCs/>
          <w:color w:val="555555"/>
          <w:spacing w:val="-10"/>
          <w:sz w:val="29"/>
          <w:szCs w:val="29"/>
        </w:rPr>
      </w:pPr>
      <w:r w:rsidRPr="001206B4">
        <w:rPr>
          <w:rFonts w:ascii="Helvetica" w:eastAsia="Times New Roman" w:hAnsi="Helvetica" w:cs="Helvetica"/>
          <w:b/>
          <w:bCs/>
          <w:color w:val="555555"/>
          <w:spacing w:val="-10"/>
          <w:sz w:val="29"/>
          <w:szCs w:val="29"/>
        </w:rPr>
        <w:lastRenderedPageBreak/>
        <w:t>Commit Stage</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noProof/>
          <w:color w:val="20A3CA"/>
          <w:sz w:val="20"/>
        </w:rPr>
        <w:drawing>
          <wp:inline distT="0" distB="0" distL="0" distR="0" wp14:anchorId="7A618290" wp14:editId="26753856">
            <wp:extent cx="5905500" cy="2362200"/>
            <wp:effectExtent l="0" t="0" r="0" b="0"/>
            <wp:docPr id="27" name="Picture 27" descr="comm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mi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362200"/>
                    </a:xfrm>
                    <a:prstGeom prst="rect">
                      <a:avLst/>
                    </a:prstGeom>
                    <a:noFill/>
                    <a:ln>
                      <a:noFill/>
                    </a:ln>
                  </pic:spPr>
                </pic:pic>
              </a:graphicData>
            </a:graphic>
          </wp:inline>
        </w:drawing>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The Commit Stage is a continuous integration step, used to validate a particular code commit from a compilation, unit test, and code quality standpoint. It does not involve any deployment to an environment, but does include export of a compiled binary (in the case of a Java project) to an enterprise artifact repository such as Nexus.</w:t>
      </w:r>
    </w:p>
    <w:p w:rsidR="001206B4" w:rsidRPr="001206B4" w:rsidRDefault="001206B4" w:rsidP="001206B4">
      <w:pPr>
        <w:shd w:val="clear" w:color="auto" w:fill="FFFFFF"/>
        <w:spacing w:before="450" w:after="225" w:line="240" w:lineRule="auto"/>
        <w:outlineLvl w:val="1"/>
        <w:rPr>
          <w:rFonts w:ascii="Helvetica" w:eastAsia="Times New Roman" w:hAnsi="Helvetica" w:cs="Helvetica"/>
          <w:b/>
          <w:bCs/>
          <w:color w:val="555555"/>
          <w:spacing w:val="-10"/>
          <w:sz w:val="29"/>
          <w:szCs w:val="29"/>
        </w:rPr>
      </w:pPr>
      <w:r w:rsidRPr="001206B4">
        <w:rPr>
          <w:rFonts w:ascii="Helvetica" w:eastAsia="Times New Roman" w:hAnsi="Helvetica" w:cs="Helvetica"/>
          <w:b/>
          <w:bCs/>
          <w:color w:val="555555"/>
          <w:spacing w:val="-10"/>
          <w:sz w:val="29"/>
          <w:szCs w:val="29"/>
        </w:rPr>
        <w:t>Acceptance Stage</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noProof/>
          <w:color w:val="20A3CA"/>
          <w:sz w:val="20"/>
        </w:rPr>
        <w:lastRenderedPageBreak/>
        <w:drawing>
          <wp:inline distT="0" distB="0" distL="0" distR="0" wp14:anchorId="09DAD93C" wp14:editId="036A4174">
            <wp:extent cx="5905500" cy="5546090"/>
            <wp:effectExtent l="0" t="0" r="0" b="0"/>
            <wp:docPr id="28" name="Picture 28" descr="accepta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cepta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5546090"/>
                    </a:xfrm>
                    <a:prstGeom prst="rect">
                      <a:avLst/>
                    </a:prstGeom>
                    <a:noFill/>
                    <a:ln>
                      <a:noFill/>
                    </a:ln>
                  </pic:spPr>
                </pic:pic>
              </a:graphicData>
            </a:graphic>
          </wp:inline>
        </w:drawing>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The Acceptance stage is where automated functional acceptance and integration tests are performed. To do this, Jenkins will deploy the code to an environment. PaaS makes this trivial, as I’ll shown in a later post.</w:t>
      </w:r>
    </w:p>
    <w:p w:rsidR="001206B4" w:rsidRPr="001206B4" w:rsidRDefault="001206B4" w:rsidP="001206B4">
      <w:pPr>
        <w:shd w:val="clear" w:color="auto" w:fill="FFFFFF"/>
        <w:spacing w:before="450" w:after="225" w:line="240" w:lineRule="auto"/>
        <w:outlineLvl w:val="1"/>
        <w:rPr>
          <w:rFonts w:ascii="Helvetica" w:eastAsia="Times New Roman" w:hAnsi="Helvetica" w:cs="Helvetica"/>
          <w:b/>
          <w:bCs/>
          <w:color w:val="555555"/>
          <w:spacing w:val="-10"/>
          <w:sz w:val="29"/>
          <w:szCs w:val="29"/>
        </w:rPr>
      </w:pPr>
      <w:r w:rsidRPr="001206B4">
        <w:rPr>
          <w:rFonts w:ascii="Helvetica" w:eastAsia="Times New Roman" w:hAnsi="Helvetica" w:cs="Helvetica"/>
          <w:b/>
          <w:bCs/>
          <w:color w:val="555555"/>
          <w:spacing w:val="-10"/>
          <w:sz w:val="29"/>
          <w:szCs w:val="29"/>
        </w:rPr>
        <w:t>UAT Stage</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noProof/>
          <w:color w:val="20A3CA"/>
          <w:sz w:val="20"/>
        </w:rPr>
        <w:lastRenderedPageBreak/>
        <w:drawing>
          <wp:inline distT="0" distB="0" distL="0" distR="0" wp14:anchorId="2BCC7D48" wp14:editId="496CBBD3">
            <wp:extent cx="5905500" cy="3477895"/>
            <wp:effectExtent l="0" t="0" r="0" b="0"/>
            <wp:docPr id="29" name="Picture 29" descr="ua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a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477895"/>
                    </a:xfrm>
                    <a:prstGeom prst="rect">
                      <a:avLst/>
                    </a:prstGeom>
                    <a:noFill/>
                    <a:ln>
                      <a:noFill/>
                    </a:ln>
                  </pic:spPr>
                </pic:pic>
              </a:graphicData>
            </a:graphic>
          </wp:inline>
        </w:drawing>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In this deployment pipeline example, a separate UAT stage is available for manual user testing, important for confirming application usability. Advancement to the UAT Stage must be approved by the QA team, who log in to Jenkins to perform a push button deployment.</w:t>
      </w:r>
    </w:p>
    <w:p w:rsidR="001206B4" w:rsidRPr="001206B4" w:rsidRDefault="001206B4" w:rsidP="001206B4">
      <w:pPr>
        <w:shd w:val="clear" w:color="auto" w:fill="FFFFFF"/>
        <w:spacing w:before="450" w:after="225" w:line="240" w:lineRule="auto"/>
        <w:outlineLvl w:val="1"/>
        <w:rPr>
          <w:rFonts w:ascii="Helvetica" w:eastAsia="Times New Roman" w:hAnsi="Helvetica" w:cs="Helvetica"/>
          <w:b/>
          <w:bCs/>
          <w:color w:val="555555"/>
          <w:spacing w:val="-10"/>
          <w:sz w:val="29"/>
          <w:szCs w:val="29"/>
        </w:rPr>
      </w:pPr>
      <w:r w:rsidRPr="001206B4">
        <w:rPr>
          <w:rFonts w:ascii="Helvetica" w:eastAsia="Times New Roman" w:hAnsi="Helvetica" w:cs="Helvetica"/>
          <w:b/>
          <w:bCs/>
          <w:color w:val="555555"/>
          <w:spacing w:val="-10"/>
          <w:sz w:val="29"/>
          <w:szCs w:val="29"/>
        </w:rPr>
        <w:t>Production Stage</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noProof/>
          <w:color w:val="20A3CA"/>
          <w:sz w:val="20"/>
        </w:rPr>
        <w:drawing>
          <wp:inline distT="0" distB="0" distL="0" distR="0" wp14:anchorId="5EEF0C9E" wp14:editId="03A20A16">
            <wp:extent cx="5905500" cy="2944495"/>
            <wp:effectExtent l="0" t="0" r="0" b="0"/>
            <wp:docPr id="30" name="Picture 30" descr="produ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du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944495"/>
                    </a:xfrm>
                    <a:prstGeom prst="rect">
                      <a:avLst/>
                    </a:prstGeom>
                    <a:noFill/>
                    <a:ln>
                      <a:noFill/>
                    </a:ln>
                  </pic:spPr>
                </pic:pic>
              </a:graphicData>
            </a:graphic>
          </wp:inline>
        </w:drawing>
      </w:r>
    </w:p>
    <w:p w:rsidR="001206B4" w:rsidRPr="001206B4" w:rsidRDefault="001206B4" w:rsidP="001206B4">
      <w:pPr>
        <w:shd w:val="clear" w:color="auto" w:fill="FFFFFF"/>
        <w:spacing w:before="300" w:after="30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lastRenderedPageBreak/>
        <w:t>Release to production is the final stage, controlled by the Operations team. Like the two stages before it, it also involves CI/CD server deployment to the PaaS environment.</w:t>
      </w:r>
    </w:p>
    <w:p w:rsidR="001206B4" w:rsidRPr="001206B4" w:rsidRDefault="001206B4" w:rsidP="001206B4">
      <w:pPr>
        <w:shd w:val="clear" w:color="auto" w:fill="FFFFFF"/>
        <w:spacing w:after="0" w:line="360" w:lineRule="atLeast"/>
        <w:rPr>
          <w:rFonts w:ascii="Helvetica" w:eastAsia="Times New Roman" w:hAnsi="Helvetica" w:cs="Helvetica"/>
          <w:color w:val="555555"/>
          <w:sz w:val="20"/>
        </w:rPr>
      </w:pPr>
      <w:r w:rsidRPr="001206B4">
        <w:rPr>
          <w:rFonts w:ascii="Helvetica" w:eastAsia="Times New Roman" w:hAnsi="Helvetica" w:cs="Helvetica"/>
          <w:color w:val="555555"/>
          <w:sz w:val="20"/>
        </w:rPr>
        <w:t>So that captures the deployment pipeline’s integration with the Jenkins CI/CD server. The next post will profile </w:t>
      </w:r>
      <w:r w:rsidRPr="001206B4">
        <w:rPr>
          <w:rFonts w:ascii="Helvetica" w:eastAsia="Times New Roman" w:hAnsi="Helvetica" w:cs="Helvetica"/>
          <w:i/>
          <w:iCs/>
          <w:color w:val="555555"/>
          <w:sz w:val="20"/>
        </w:rPr>
        <w:t>how</w:t>
      </w:r>
      <w:r w:rsidRPr="001206B4">
        <w:rPr>
          <w:rFonts w:ascii="Helvetica" w:eastAsia="Times New Roman" w:hAnsi="Helvetica" w:cs="Helvetica"/>
          <w:color w:val="555555"/>
          <w:sz w:val="20"/>
        </w:rPr>
        <w:t> the CI/CD server leverages PaaS to make both environment creation, configuration, and application deployment an easy process.</w:t>
      </w:r>
    </w:p>
    <w:p w:rsidR="00DF709D" w:rsidRDefault="00DF709D"/>
    <w:sectPr w:rsidR="00DF709D" w:rsidSect="00DF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EA38C6"/>
    <w:rsid w:val="00001E68"/>
    <w:rsid w:val="00011545"/>
    <w:rsid w:val="0002023B"/>
    <w:rsid w:val="0002750D"/>
    <w:rsid w:val="00027EA6"/>
    <w:rsid w:val="0003061A"/>
    <w:rsid w:val="000310D5"/>
    <w:rsid w:val="0003110F"/>
    <w:rsid w:val="0003610C"/>
    <w:rsid w:val="00041999"/>
    <w:rsid w:val="00045461"/>
    <w:rsid w:val="000534B4"/>
    <w:rsid w:val="00054ECE"/>
    <w:rsid w:val="00056025"/>
    <w:rsid w:val="00063617"/>
    <w:rsid w:val="00066CA9"/>
    <w:rsid w:val="000679D7"/>
    <w:rsid w:val="00086132"/>
    <w:rsid w:val="00090DAC"/>
    <w:rsid w:val="00091F20"/>
    <w:rsid w:val="00097FDB"/>
    <w:rsid w:val="000A4C2F"/>
    <w:rsid w:val="000A4DE3"/>
    <w:rsid w:val="000A56EC"/>
    <w:rsid w:val="000B5101"/>
    <w:rsid w:val="000B6AFE"/>
    <w:rsid w:val="000B7ED2"/>
    <w:rsid w:val="000E359A"/>
    <w:rsid w:val="000E5CAC"/>
    <w:rsid w:val="000E6E82"/>
    <w:rsid w:val="000F01EB"/>
    <w:rsid w:val="00105B79"/>
    <w:rsid w:val="00107527"/>
    <w:rsid w:val="0011149C"/>
    <w:rsid w:val="001159DC"/>
    <w:rsid w:val="00115EC3"/>
    <w:rsid w:val="001206B4"/>
    <w:rsid w:val="00122E5A"/>
    <w:rsid w:val="00127714"/>
    <w:rsid w:val="00130307"/>
    <w:rsid w:val="0013088B"/>
    <w:rsid w:val="001310D7"/>
    <w:rsid w:val="00143D1E"/>
    <w:rsid w:val="00144523"/>
    <w:rsid w:val="001466E5"/>
    <w:rsid w:val="00147EC4"/>
    <w:rsid w:val="00150D21"/>
    <w:rsid w:val="001579E9"/>
    <w:rsid w:val="0016024E"/>
    <w:rsid w:val="001634C9"/>
    <w:rsid w:val="00176188"/>
    <w:rsid w:val="00176BF5"/>
    <w:rsid w:val="00177415"/>
    <w:rsid w:val="001820D2"/>
    <w:rsid w:val="001857D1"/>
    <w:rsid w:val="0019451A"/>
    <w:rsid w:val="001970E6"/>
    <w:rsid w:val="001A5368"/>
    <w:rsid w:val="001A65E1"/>
    <w:rsid w:val="001A7E24"/>
    <w:rsid w:val="001B3F88"/>
    <w:rsid w:val="001C62B4"/>
    <w:rsid w:val="001C6B55"/>
    <w:rsid w:val="001C7A9E"/>
    <w:rsid w:val="001D4F61"/>
    <w:rsid w:val="001D6080"/>
    <w:rsid w:val="001D6B5D"/>
    <w:rsid w:val="001E596B"/>
    <w:rsid w:val="001E729F"/>
    <w:rsid w:val="001E7FA7"/>
    <w:rsid w:val="001F0C7D"/>
    <w:rsid w:val="001F0D96"/>
    <w:rsid w:val="001F63F8"/>
    <w:rsid w:val="00201458"/>
    <w:rsid w:val="00207D15"/>
    <w:rsid w:val="00212398"/>
    <w:rsid w:val="00236345"/>
    <w:rsid w:val="002425D5"/>
    <w:rsid w:val="00243021"/>
    <w:rsid w:val="00243838"/>
    <w:rsid w:val="0024758A"/>
    <w:rsid w:val="00247DCC"/>
    <w:rsid w:val="00254176"/>
    <w:rsid w:val="00254B85"/>
    <w:rsid w:val="002575C7"/>
    <w:rsid w:val="00260465"/>
    <w:rsid w:val="002608B0"/>
    <w:rsid w:val="0028252D"/>
    <w:rsid w:val="002A2C52"/>
    <w:rsid w:val="002A48A3"/>
    <w:rsid w:val="002A5D56"/>
    <w:rsid w:val="002A75EB"/>
    <w:rsid w:val="002A7C23"/>
    <w:rsid w:val="002B27D5"/>
    <w:rsid w:val="002B36F0"/>
    <w:rsid w:val="002B6778"/>
    <w:rsid w:val="002B6DF7"/>
    <w:rsid w:val="002C45F1"/>
    <w:rsid w:val="002D4CC8"/>
    <w:rsid w:val="002E4374"/>
    <w:rsid w:val="002F0588"/>
    <w:rsid w:val="002F3285"/>
    <w:rsid w:val="00301A67"/>
    <w:rsid w:val="003048B3"/>
    <w:rsid w:val="003059C2"/>
    <w:rsid w:val="0030651B"/>
    <w:rsid w:val="003067AB"/>
    <w:rsid w:val="00312D8E"/>
    <w:rsid w:val="00320E4D"/>
    <w:rsid w:val="00323DD0"/>
    <w:rsid w:val="0032727C"/>
    <w:rsid w:val="00331300"/>
    <w:rsid w:val="00331C54"/>
    <w:rsid w:val="00334091"/>
    <w:rsid w:val="00335BD9"/>
    <w:rsid w:val="00343D93"/>
    <w:rsid w:val="00344334"/>
    <w:rsid w:val="003477D1"/>
    <w:rsid w:val="00350A38"/>
    <w:rsid w:val="00353EC2"/>
    <w:rsid w:val="00361254"/>
    <w:rsid w:val="00365186"/>
    <w:rsid w:val="00370E50"/>
    <w:rsid w:val="00376827"/>
    <w:rsid w:val="003825BC"/>
    <w:rsid w:val="00387E0B"/>
    <w:rsid w:val="00393A58"/>
    <w:rsid w:val="003A13D0"/>
    <w:rsid w:val="003B0EA0"/>
    <w:rsid w:val="003B4296"/>
    <w:rsid w:val="003C04DB"/>
    <w:rsid w:val="003E2BD7"/>
    <w:rsid w:val="003E7F5B"/>
    <w:rsid w:val="003F0CA5"/>
    <w:rsid w:val="003F77A4"/>
    <w:rsid w:val="00406980"/>
    <w:rsid w:val="00421C9B"/>
    <w:rsid w:val="00424DFE"/>
    <w:rsid w:val="00430B3B"/>
    <w:rsid w:val="00450B3B"/>
    <w:rsid w:val="00467645"/>
    <w:rsid w:val="00467D3C"/>
    <w:rsid w:val="00473686"/>
    <w:rsid w:val="004825D0"/>
    <w:rsid w:val="0049600A"/>
    <w:rsid w:val="004A0E32"/>
    <w:rsid w:val="004B5CDF"/>
    <w:rsid w:val="004C13EA"/>
    <w:rsid w:val="004C14D0"/>
    <w:rsid w:val="004D4095"/>
    <w:rsid w:val="004D4207"/>
    <w:rsid w:val="004D53B1"/>
    <w:rsid w:val="004D5C90"/>
    <w:rsid w:val="004E065B"/>
    <w:rsid w:val="004E1A4C"/>
    <w:rsid w:val="004E659D"/>
    <w:rsid w:val="004F203A"/>
    <w:rsid w:val="004F3A9C"/>
    <w:rsid w:val="00503E57"/>
    <w:rsid w:val="00506124"/>
    <w:rsid w:val="00507BCD"/>
    <w:rsid w:val="00510ACE"/>
    <w:rsid w:val="0051344E"/>
    <w:rsid w:val="00515787"/>
    <w:rsid w:val="005160B6"/>
    <w:rsid w:val="0052018B"/>
    <w:rsid w:val="005231BF"/>
    <w:rsid w:val="00525340"/>
    <w:rsid w:val="005253E5"/>
    <w:rsid w:val="00527E97"/>
    <w:rsid w:val="00537ACA"/>
    <w:rsid w:val="005426FD"/>
    <w:rsid w:val="00545956"/>
    <w:rsid w:val="00545BF9"/>
    <w:rsid w:val="00547161"/>
    <w:rsid w:val="005519A3"/>
    <w:rsid w:val="00554CE4"/>
    <w:rsid w:val="00563335"/>
    <w:rsid w:val="00565229"/>
    <w:rsid w:val="00570585"/>
    <w:rsid w:val="00575ED1"/>
    <w:rsid w:val="00576450"/>
    <w:rsid w:val="005833EC"/>
    <w:rsid w:val="00594AD6"/>
    <w:rsid w:val="00594F05"/>
    <w:rsid w:val="005A0691"/>
    <w:rsid w:val="005A1FF7"/>
    <w:rsid w:val="005A3BC8"/>
    <w:rsid w:val="005A3C1A"/>
    <w:rsid w:val="005B3594"/>
    <w:rsid w:val="005C0045"/>
    <w:rsid w:val="005C052D"/>
    <w:rsid w:val="005C308A"/>
    <w:rsid w:val="005C7B3C"/>
    <w:rsid w:val="005D2A88"/>
    <w:rsid w:val="005D616D"/>
    <w:rsid w:val="005D7C2F"/>
    <w:rsid w:val="005D7FBF"/>
    <w:rsid w:val="005F6CAB"/>
    <w:rsid w:val="005F7FC9"/>
    <w:rsid w:val="006043F1"/>
    <w:rsid w:val="00605CEE"/>
    <w:rsid w:val="0060712F"/>
    <w:rsid w:val="00614BDC"/>
    <w:rsid w:val="006214B9"/>
    <w:rsid w:val="0062711B"/>
    <w:rsid w:val="00632101"/>
    <w:rsid w:val="00632768"/>
    <w:rsid w:val="006414FE"/>
    <w:rsid w:val="00645C96"/>
    <w:rsid w:val="00653C12"/>
    <w:rsid w:val="00654B1A"/>
    <w:rsid w:val="00660887"/>
    <w:rsid w:val="006615EF"/>
    <w:rsid w:val="00662DA2"/>
    <w:rsid w:val="006728E3"/>
    <w:rsid w:val="00673106"/>
    <w:rsid w:val="006748C6"/>
    <w:rsid w:val="00681514"/>
    <w:rsid w:val="00690FB3"/>
    <w:rsid w:val="00694477"/>
    <w:rsid w:val="006A6EF8"/>
    <w:rsid w:val="006B259F"/>
    <w:rsid w:val="006B294C"/>
    <w:rsid w:val="006B2C45"/>
    <w:rsid w:val="006B3EA5"/>
    <w:rsid w:val="006B7BF0"/>
    <w:rsid w:val="006C1074"/>
    <w:rsid w:val="006C175B"/>
    <w:rsid w:val="006C2A3A"/>
    <w:rsid w:val="006C5DBC"/>
    <w:rsid w:val="006C69D2"/>
    <w:rsid w:val="006E124C"/>
    <w:rsid w:val="006E45AF"/>
    <w:rsid w:val="006E734E"/>
    <w:rsid w:val="006F1B9D"/>
    <w:rsid w:val="006F49DE"/>
    <w:rsid w:val="006F6DCB"/>
    <w:rsid w:val="006F7796"/>
    <w:rsid w:val="00703A0F"/>
    <w:rsid w:val="00715221"/>
    <w:rsid w:val="00721C9C"/>
    <w:rsid w:val="00724AD7"/>
    <w:rsid w:val="007279B7"/>
    <w:rsid w:val="00744608"/>
    <w:rsid w:val="0074676E"/>
    <w:rsid w:val="00761C93"/>
    <w:rsid w:val="007631DB"/>
    <w:rsid w:val="00767681"/>
    <w:rsid w:val="007754EE"/>
    <w:rsid w:val="00780CC9"/>
    <w:rsid w:val="00781E49"/>
    <w:rsid w:val="0078219C"/>
    <w:rsid w:val="00784F2F"/>
    <w:rsid w:val="007904E0"/>
    <w:rsid w:val="007907ED"/>
    <w:rsid w:val="007A3B99"/>
    <w:rsid w:val="007B30E5"/>
    <w:rsid w:val="007C5C10"/>
    <w:rsid w:val="007D34FF"/>
    <w:rsid w:val="007D37C9"/>
    <w:rsid w:val="007D61F7"/>
    <w:rsid w:val="007E2F1B"/>
    <w:rsid w:val="007E6F61"/>
    <w:rsid w:val="007F3DA4"/>
    <w:rsid w:val="0080263C"/>
    <w:rsid w:val="00804BFB"/>
    <w:rsid w:val="00817FD6"/>
    <w:rsid w:val="00823C7B"/>
    <w:rsid w:val="00832014"/>
    <w:rsid w:val="0084265C"/>
    <w:rsid w:val="00843445"/>
    <w:rsid w:val="00852AD8"/>
    <w:rsid w:val="00855F1E"/>
    <w:rsid w:val="00862BC2"/>
    <w:rsid w:val="008714B9"/>
    <w:rsid w:val="008756FF"/>
    <w:rsid w:val="00876B8B"/>
    <w:rsid w:val="00883702"/>
    <w:rsid w:val="008842F0"/>
    <w:rsid w:val="008B3641"/>
    <w:rsid w:val="008B64B0"/>
    <w:rsid w:val="008C106E"/>
    <w:rsid w:val="008D6692"/>
    <w:rsid w:val="008D6D61"/>
    <w:rsid w:val="008E4F77"/>
    <w:rsid w:val="008E5C2B"/>
    <w:rsid w:val="008F0CA9"/>
    <w:rsid w:val="008F5033"/>
    <w:rsid w:val="008F54F7"/>
    <w:rsid w:val="008F74B2"/>
    <w:rsid w:val="009001E4"/>
    <w:rsid w:val="00925F8A"/>
    <w:rsid w:val="0092631F"/>
    <w:rsid w:val="009477F6"/>
    <w:rsid w:val="00960930"/>
    <w:rsid w:val="009620F1"/>
    <w:rsid w:val="00962C58"/>
    <w:rsid w:val="009638ED"/>
    <w:rsid w:val="00963E4C"/>
    <w:rsid w:val="00964EA0"/>
    <w:rsid w:val="00966CCD"/>
    <w:rsid w:val="009678D3"/>
    <w:rsid w:val="009731A5"/>
    <w:rsid w:val="00976101"/>
    <w:rsid w:val="00976DA5"/>
    <w:rsid w:val="00977471"/>
    <w:rsid w:val="00984B83"/>
    <w:rsid w:val="009879B9"/>
    <w:rsid w:val="009A154D"/>
    <w:rsid w:val="009A638C"/>
    <w:rsid w:val="009B055C"/>
    <w:rsid w:val="009B4857"/>
    <w:rsid w:val="009B7E18"/>
    <w:rsid w:val="009C2898"/>
    <w:rsid w:val="009D457B"/>
    <w:rsid w:val="009D5D9D"/>
    <w:rsid w:val="009D6B30"/>
    <w:rsid w:val="009D7149"/>
    <w:rsid w:val="009D7789"/>
    <w:rsid w:val="009E3978"/>
    <w:rsid w:val="009F2DDA"/>
    <w:rsid w:val="009F4F39"/>
    <w:rsid w:val="00A07178"/>
    <w:rsid w:val="00A20F87"/>
    <w:rsid w:val="00A22C99"/>
    <w:rsid w:val="00A23B03"/>
    <w:rsid w:val="00A25986"/>
    <w:rsid w:val="00A3121D"/>
    <w:rsid w:val="00A32304"/>
    <w:rsid w:val="00A45B56"/>
    <w:rsid w:val="00A47A81"/>
    <w:rsid w:val="00A54551"/>
    <w:rsid w:val="00A5729B"/>
    <w:rsid w:val="00A5783D"/>
    <w:rsid w:val="00A60356"/>
    <w:rsid w:val="00A6655A"/>
    <w:rsid w:val="00A82BE3"/>
    <w:rsid w:val="00A87620"/>
    <w:rsid w:val="00A93F68"/>
    <w:rsid w:val="00AA46B9"/>
    <w:rsid w:val="00AA4DE9"/>
    <w:rsid w:val="00AB178A"/>
    <w:rsid w:val="00AB3D48"/>
    <w:rsid w:val="00AC1546"/>
    <w:rsid w:val="00AC2B12"/>
    <w:rsid w:val="00AC7583"/>
    <w:rsid w:val="00AD7AF5"/>
    <w:rsid w:val="00AE410D"/>
    <w:rsid w:val="00AF0817"/>
    <w:rsid w:val="00AF281A"/>
    <w:rsid w:val="00B01B1E"/>
    <w:rsid w:val="00B02584"/>
    <w:rsid w:val="00B10321"/>
    <w:rsid w:val="00B10781"/>
    <w:rsid w:val="00B12D19"/>
    <w:rsid w:val="00B14F8F"/>
    <w:rsid w:val="00B169C0"/>
    <w:rsid w:val="00B23264"/>
    <w:rsid w:val="00B25E6C"/>
    <w:rsid w:val="00B301C0"/>
    <w:rsid w:val="00B32E85"/>
    <w:rsid w:val="00B35CBA"/>
    <w:rsid w:val="00B4608D"/>
    <w:rsid w:val="00B47C1B"/>
    <w:rsid w:val="00B5634A"/>
    <w:rsid w:val="00B56435"/>
    <w:rsid w:val="00B60E47"/>
    <w:rsid w:val="00B817A4"/>
    <w:rsid w:val="00B85D10"/>
    <w:rsid w:val="00B87B1C"/>
    <w:rsid w:val="00B93DA6"/>
    <w:rsid w:val="00B973C5"/>
    <w:rsid w:val="00BA5432"/>
    <w:rsid w:val="00BA7F0E"/>
    <w:rsid w:val="00BB1B4A"/>
    <w:rsid w:val="00BB334A"/>
    <w:rsid w:val="00BB3FA2"/>
    <w:rsid w:val="00BB49F4"/>
    <w:rsid w:val="00BC706B"/>
    <w:rsid w:val="00BE35C0"/>
    <w:rsid w:val="00BE36FA"/>
    <w:rsid w:val="00BF012E"/>
    <w:rsid w:val="00BF1462"/>
    <w:rsid w:val="00BF3A5C"/>
    <w:rsid w:val="00BF3EE3"/>
    <w:rsid w:val="00BF6871"/>
    <w:rsid w:val="00BF6C88"/>
    <w:rsid w:val="00C003FB"/>
    <w:rsid w:val="00C065DF"/>
    <w:rsid w:val="00C16534"/>
    <w:rsid w:val="00C20635"/>
    <w:rsid w:val="00C21A8B"/>
    <w:rsid w:val="00C23C47"/>
    <w:rsid w:val="00C25233"/>
    <w:rsid w:val="00C27910"/>
    <w:rsid w:val="00C33E69"/>
    <w:rsid w:val="00C54A7E"/>
    <w:rsid w:val="00C55E23"/>
    <w:rsid w:val="00C660C5"/>
    <w:rsid w:val="00C713E3"/>
    <w:rsid w:val="00C74F62"/>
    <w:rsid w:val="00C75562"/>
    <w:rsid w:val="00C94CAC"/>
    <w:rsid w:val="00C954B5"/>
    <w:rsid w:val="00C96A04"/>
    <w:rsid w:val="00CA264A"/>
    <w:rsid w:val="00CA79DE"/>
    <w:rsid w:val="00CB0B0E"/>
    <w:rsid w:val="00CB318F"/>
    <w:rsid w:val="00CB3E8A"/>
    <w:rsid w:val="00CB5397"/>
    <w:rsid w:val="00CB5AC2"/>
    <w:rsid w:val="00CC0790"/>
    <w:rsid w:val="00CC1847"/>
    <w:rsid w:val="00CC6181"/>
    <w:rsid w:val="00CD714F"/>
    <w:rsid w:val="00CF06F5"/>
    <w:rsid w:val="00D049BF"/>
    <w:rsid w:val="00D147B1"/>
    <w:rsid w:val="00D17E32"/>
    <w:rsid w:val="00D27E8E"/>
    <w:rsid w:val="00D3585E"/>
    <w:rsid w:val="00D4309E"/>
    <w:rsid w:val="00D43456"/>
    <w:rsid w:val="00D45D1B"/>
    <w:rsid w:val="00D56717"/>
    <w:rsid w:val="00D627D0"/>
    <w:rsid w:val="00D75620"/>
    <w:rsid w:val="00D775CE"/>
    <w:rsid w:val="00D821CB"/>
    <w:rsid w:val="00D8748D"/>
    <w:rsid w:val="00D87C5C"/>
    <w:rsid w:val="00D9033A"/>
    <w:rsid w:val="00D91C04"/>
    <w:rsid w:val="00D97C3E"/>
    <w:rsid w:val="00DA23B0"/>
    <w:rsid w:val="00DB0CC7"/>
    <w:rsid w:val="00DB1FFE"/>
    <w:rsid w:val="00DB3BA6"/>
    <w:rsid w:val="00DD3ECE"/>
    <w:rsid w:val="00DD6E47"/>
    <w:rsid w:val="00DD76E2"/>
    <w:rsid w:val="00DE08A8"/>
    <w:rsid w:val="00DE3BDC"/>
    <w:rsid w:val="00DE424A"/>
    <w:rsid w:val="00DE7497"/>
    <w:rsid w:val="00DF5722"/>
    <w:rsid w:val="00DF6F1E"/>
    <w:rsid w:val="00DF709D"/>
    <w:rsid w:val="00E07B2A"/>
    <w:rsid w:val="00E153DA"/>
    <w:rsid w:val="00E2258A"/>
    <w:rsid w:val="00E2440D"/>
    <w:rsid w:val="00E25EB6"/>
    <w:rsid w:val="00E33BEC"/>
    <w:rsid w:val="00E36D16"/>
    <w:rsid w:val="00E40141"/>
    <w:rsid w:val="00E60076"/>
    <w:rsid w:val="00E60E3E"/>
    <w:rsid w:val="00E62B75"/>
    <w:rsid w:val="00E65D51"/>
    <w:rsid w:val="00E6630D"/>
    <w:rsid w:val="00E663F8"/>
    <w:rsid w:val="00E6767C"/>
    <w:rsid w:val="00E70366"/>
    <w:rsid w:val="00E713CD"/>
    <w:rsid w:val="00E75822"/>
    <w:rsid w:val="00E817E2"/>
    <w:rsid w:val="00E85D6B"/>
    <w:rsid w:val="00E86971"/>
    <w:rsid w:val="00EA2C6F"/>
    <w:rsid w:val="00EA2F62"/>
    <w:rsid w:val="00EA38C6"/>
    <w:rsid w:val="00EB2226"/>
    <w:rsid w:val="00EC07D3"/>
    <w:rsid w:val="00EC0E1F"/>
    <w:rsid w:val="00EC5F10"/>
    <w:rsid w:val="00ED512A"/>
    <w:rsid w:val="00ED5846"/>
    <w:rsid w:val="00ED6F5B"/>
    <w:rsid w:val="00EE1A6F"/>
    <w:rsid w:val="00EE5A76"/>
    <w:rsid w:val="00EE7700"/>
    <w:rsid w:val="00EF38D9"/>
    <w:rsid w:val="00EF49DC"/>
    <w:rsid w:val="00EF786E"/>
    <w:rsid w:val="00F01DBE"/>
    <w:rsid w:val="00F071F0"/>
    <w:rsid w:val="00F07E0C"/>
    <w:rsid w:val="00F07F5D"/>
    <w:rsid w:val="00F102E2"/>
    <w:rsid w:val="00F141A0"/>
    <w:rsid w:val="00F20423"/>
    <w:rsid w:val="00F30754"/>
    <w:rsid w:val="00F34534"/>
    <w:rsid w:val="00F36913"/>
    <w:rsid w:val="00F36E13"/>
    <w:rsid w:val="00F554D0"/>
    <w:rsid w:val="00F647DB"/>
    <w:rsid w:val="00F650ED"/>
    <w:rsid w:val="00F6585D"/>
    <w:rsid w:val="00F7001F"/>
    <w:rsid w:val="00F7186B"/>
    <w:rsid w:val="00F73E5B"/>
    <w:rsid w:val="00F763BF"/>
    <w:rsid w:val="00F83FDA"/>
    <w:rsid w:val="00F87E27"/>
    <w:rsid w:val="00F922BA"/>
    <w:rsid w:val="00F961A2"/>
    <w:rsid w:val="00F97ED7"/>
    <w:rsid w:val="00FA1848"/>
    <w:rsid w:val="00FA31D7"/>
    <w:rsid w:val="00FA512C"/>
    <w:rsid w:val="00FA6C7E"/>
    <w:rsid w:val="00FB35AA"/>
    <w:rsid w:val="00FB7DD4"/>
    <w:rsid w:val="00FC3FFB"/>
    <w:rsid w:val="00FD3ACB"/>
    <w:rsid w:val="00FD7AFC"/>
    <w:rsid w:val="00FE039A"/>
    <w:rsid w:val="00FE2FBA"/>
    <w:rsid w:val="00FE36E0"/>
    <w:rsid w:val="00FE3DEB"/>
    <w:rsid w:val="00FE48E4"/>
    <w:rsid w:val="00FE6B09"/>
    <w:rsid w:val="00FF3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D0EAA-4D83-4F02-8AC6-07418EA9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7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38812">
      <w:bodyDiv w:val="1"/>
      <w:marLeft w:val="0"/>
      <w:marRight w:val="0"/>
      <w:marTop w:val="0"/>
      <w:marBottom w:val="0"/>
      <w:divBdr>
        <w:top w:val="none" w:sz="0" w:space="0" w:color="auto"/>
        <w:left w:val="none" w:sz="0" w:space="0" w:color="auto"/>
        <w:bottom w:val="none" w:sz="0" w:space="0" w:color="auto"/>
        <w:right w:val="none" w:sz="0" w:space="0" w:color="auto"/>
      </w:divBdr>
      <w:divsChild>
        <w:div w:id="1765304368">
          <w:marLeft w:val="0"/>
          <w:marRight w:val="0"/>
          <w:marTop w:val="0"/>
          <w:marBottom w:val="0"/>
          <w:divBdr>
            <w:top w:val="none" w:sz="0" w:space="0" w:color="auto"/>
            <w:left w:val="none" w:sz="0" w:space="0" w:color="auto"/>
            <w:bottom w:val="none" w:sz="0" w:space="0" w:color="auto"/>
            <w:right w:val="none" w:sz="0" w:space="0" w:color="auto"/>
          </w:divBdr>
          <w:divsChild>
            <w:div w:id="2818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evormquinn.files.wordpress.com/2014/12/production.png" TargetMode="External"/><Relationship Id="rId3" Type="http://schemas.openxmlformats.org/officeDocument/2006/relationships/webSettings" Target="webSettings.xml"/><Relationship Id="rId7" Type="http://schemas.openxmlformats.org/officeDocument/2006/relationships/hyperlink" Target="https://trevormquinn.files.wordpress.com/2014/12/commit.png"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revormquinn.files.wordpress.com/2014/12/uat.png" TargetMode="External"/><Relationship Id="rId5" Type="http://schemas.openxmlformats.org/officeDocument/2006/relationships/hyperlink" Target="https://trevormquinn.files.wordpress.com/2014/12/bp.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wiki.jenkins-ci.org/display/JENKINS/Build+Pipeline+Plugin" TargetMode="External"/><Relationship Id="rId9" Type="http://schemas.openxmlformats.org/officeDocument/2006/relationships/hyperlink" Target="https://trevormquinn.files.wordpress.com/2014/12/acceptance.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2017-05-15T09:08:00Z</dcterms:created>
  <dcterms:modified xsi:type="dcterms:W3CDTF">2017-05-15T09:08:00Z</dcterms:modified>
</cp:coreProperties>
</file>