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470"/>
          <w:sz w:val="44"/>
        </w:rPr>
        <w:t>Asian Christian Academy of India</w:t>
        <w:br/>
        <w:t>HRMS-ERP &amp; Self-Hosted AI Engine Blueprint</w:t>
      </w:r>
    </w:p>
    <w:p>
      <w:pPr>
        <w:jc w:val="center"/>
      </w:pPr>
      <w:r>
        <w:rPr>
          <w:rFonts w:ascii="Arial" w:hAnsi="Arial"/>
          <w:color w:val="64748B"/>
          <w:sz w:val="22"/>
        </w:rPr>
        <w:t>Self-Hosted Open-Weight Strategy, Infrastructure Engineering &amp; Agent Portfolio</w:t>
        <w:br/>
        <w:t>Version 1.0.0 · Document Review: August 2026</w:t>
      </w:r>
    </w:p>
    <w:p/>
    <w:p>
      <w:pPr>
        <w:spacing w:before="280" w:after="120"/>
      </w:pPr>
      <w:r>
        <w:rPr>
          <w:rFonts w:ascii="Arial" w:hAnsi="Arial"/>
          <w:b/>
          <w:color w:val="003470"/>
          <w:sz w:val="30"/>
        </w:rPr>
        <w:t>1. Executive Summary &amp; Self-Hosted AI Vision</w:t>
      </w:r>
    </w:p>
    <w:p>
      <w:r>
        <w:rPr>
          <w:rFonts w:ascii="Arial" w:hAnsi="Arial"/>
          <w:sz w:val="20"/>
        </w:rPr>
        <w:t>This master architectural blueprint defines the technical specification, system design, agent portfolio, and infrastructure stack for building a 100% self-hosted, privately fine-tuned AI Engine for Asian Christian Academy of India. The system operates with total independence—eliminating third-party cloud API dependencies (zero OpenAI, zero Claude, zero Gemini API keys)—guaranteeing complete enterprise data privacy, zero per-token API costs, and low latency (30–150 ms TTFT) over a self-hosted open-weight model runtime.</w:t>
      </w:r>
    </w:p>
    <w:p>
      <w:pPr>
        <w:spacing w:before="280" w:after="120"/>
      </w:pPr>
      <w:r>
        <w:rPr>
          <w:rFonts w:ascii="Arial" w:hAnsi="Arial"/>
          <w:b/>
          <w:color w:val="003470"/>
          <w:sz w:val="30"/>
        </w:rPr>
        <w:t>2. Master System Architecture Chart (Self-Hosted Open Weights)</w:t>
      </w:r>
    </w:p>
    <w:p>
      <w:pPr>
        <w:spacing w:before="120" w:after="120"/>
      </w:pPr>
      <w:r>
        <w:rPr>
          <w:rFonts w:ascii="Courier New" w:hAnsi="Courier New"/>
          <w:b/>
          <w:color w:val="003470"/>
          <w:sz w:val="16"/>
        </w:rPr>
        <w:t>+-----------------------------------------------------------------------------------------+</w:t>
        <w:br/>
        <w:t>|  1. GLOBAL CLIENT UI ENGINE                                                             |</w:t>
        <w:br/>
        <w:t>|  Flutter 3.x (Dart) | Riverpod &amp; GoRouter | Self-hosted STT + Platform TTS              |</w:t>
        <w:br/>
        <w:t>+-----------------------------------------------------------------------------------------+</w:t>
        <w:br/>
        <w:t xml:space="preserve">                                        |                                                  </w:t>
        <w:br/>
        <w:t xml:space="preserve">                                        v                                                  </w:t>
        <w:br/>
        <w:t>+-----------------------------------------------------------------------------------------+</w:t>
        <w:br/>
        <w:t>|  2. ACA INDIA HRMS-ERP APPLICATION MODULES                                              |</w:t>
        <w:br/>
        <w:t>|  Dashboard (Presence/Polls) | Me (Attendance/Leaves) | Helpdesk (6 Depts) | Teams Chat |</w:t>
        <w:br/>
        <w:t>+-----------------------------------------------------------------------------------------+</w:t>
        <w:br/>
        <w:t xml:space="preserve">                                        |                                                  </w:t>
        <w:br/>
        <w:t xml:space="preserve">                                        v                                                  </w:t>
        <w:br/>
        <w:t>+-----------------------------------------------------------------------------------------+</w:t>
        <w:br/>
        <w:t>|  3. EDGE &amp; API GATEWAY                                                                  |</w:t>
        <w:br/>
        <w:t>|  nginx Edge (TLS 1.3, WAF, Rate Limit) -&gt; Node.js Express API (JWT + RBAC Policy Check) |</w:t>
        <w:br/>
        <w:t>+-----------------------------------------------------------------------------------------+</w:t>
        <w:br/>
        <w:t xml:space="preserve">                                        |                                                  </w:t>
        <w:br/>
        <w:t xml:space="preserve">                                        v                                                  </w:t>
        <w:br/>
        <w:t>+-----------------------------------------------------------------------------------------+</w:t>
        <w:br/>
        <w:t>|  4. AI AGENT ECOSYSTEM                                                                  |</w:t>
        <w:br/>
        <w:t>|  RAG Policy Agent | Action Agent | (Planned: Payroll | Attendance Audit | Vision OCR)    |</w:t>
        <w:br/>
        <w:t>+-----------------------------------------------------------------------------------------+</w:t>
        <w:br/>
        <w:t xml:space="preserve">                                        |                                                  </w:t>
        <w:br/>
        <w:t xml:space="preserve">                                        v                                                  </w:t>
        <w:br/>
        <w:t>+-----------------------------------------------------------------------------------------+</w:t>
        <w:br/>
        <w:t>|  5. SELF-HOSTED INFERENCE &amp; DATA                                                        |</w:t>
        <w:br/>
        <w:t>|  vLLM / llama.cpp Serving (LoRA Adapters) &lt;-&gt; Postgres 16 + pgvector (Unified DB)        |</w:t>
        <w:br/>
        <w:t>+-----------------------------------------------------------------------------------------+</w:t>
        <w:br/>
        <w:t xml:space="preserve">                                        |                                                  </w:t>
        <w:br/>
        <w:t xml:space="preserve">                                        v                                                  </w:t>
        <w:br/>
        <w:t>+-----------------------------------------------------------------------------------------+</w:t>
        <w:br/>
        <w:t>|  CROSS-CUTTING: SECURITY &amp; OPERATIONS                                                   |</w:t>
        <w:br/>
        <w:t>|  SSO / IdP Auth | BullMQ + Redis Job Queue | Metrics &amp; Tracing | Encrypted Backups   |</w:t>
        <w:br/>
        <w:t>+-----------------------------------------------------------------------------------------+</w:t>
      </w:r>
    </w:p>
    <w:p>
      <w:pPr>
        <w:spacing w:before="280" w:after="120"/>
      </w:pPr>
      <w:r>
        <w:rPr>
          <w:rFonts w:ascii="Arial" w:hAnsi="Arial"/>
          <w:b/>
          <w:color w:val="003470"/>
          <w:sz w:val="30"/>
        </w:rPr>
        <w:t>3. Custom AI Infrastructure &amp; Engineering Stack</w:t>
      </w:r>
    </w:p>
    <w:p>
      <w:pPr>
        <w:spacing w:before="60" w:after="60"/>
      </w:pPr>
      <w:r>
        <w:rPr>
          <w:rFonts w:ascii="Arial" w:hAnsi="Arial"/>
          <w:b/>
          <w:color w:val="003470"/>
          <w:sz w:val="19"/>
        </w:rPr>
        <w:t xml:space="preserve">• 1. Model Fine-Tuning Framework (Python, PyTorch &amp; LoRA): </w:t>
      </w:r>
      <w:r>
        <w:rPr>
          <w:rFonts w:ascii="Arial" w:hAnsi="Arial"/>
          <w:color w:val="1E293B"/>
          <w:sz w:val="19"/>
        </w:rPr>
        <w:t>The core intelligence engine uses open-weight base models (e.g. Llama 3 / Gemma 2) fine-tuned on Asian Christian Academy of India HR policies, leave rules, and SOP documents using PyTorch, HuggingFace Transformers, and PEFT / LoRA (Low-Rank Adaptation).</w:t>
      </w:r>
    </w:p>
    <w:p>
      <w:pPr>
        <w:spacing w:before="60" w:after="60"/>
      </w:pPr>
      <w:r>
        <w:rPr>
          <w:rFonts w:ascii="Arial" w:hAnsi="Arial"/>
          <w:b/>
          <w:color w:val="003470"/>
          <w:sz w:val="19"/>
        </w:rPr>
        <w:t xml:space="preserve">• 2. Dual-Tier Self-Hosted Inference Runtime (vLLM &amp; llama.cpp): </w:t>
      </w:r>
      <w:r>
        <w:rPr>
          <w:rFonts w:ascii="Arial" w:hAnsi="Arial"/>
          <w:color w:val="1E293B"/>
          <w:sz w:val="19"/>
        </w:rPr>
        <w:t>Model serving is structured in two operational tiers: vLLM (PagedAttention) provides primary GPU serving for high concurrent campus traffic (achieving 30–150 ms time-to-first-token), with llama.cpp (GGUF Quantization) acting as a low-power CPU fallback server.</w:t>
      </w:r>
    </w:p>
    <w:p>
      <w:pPr>
        <w:spacing w:before="60" w:after="60"/>
      </w:pPr>
      <w:r>
        <w:rPr>
          <w:rFonts w:ascii="Arial" w:hAnsi="Arial"/>
          <w:b/>
          <w:color w:val="003470"/>
          <w:sz w:val="19"/>
        </w:rPr>
        <w:t xml:space="preserve">• 3. Private Self-Hosted STT &amp; Native Platform TTS: </w:t>
      </w:r>
      <w:r>
        <w:rPr>
          <w:rFonts w:ascii="Arial" w:hAnsi="Arial"/>
          <w:color w:val="1E293B"/>
          <w:sz w:val="19"/>
        </w:rPr>
        <w:t>To preserve complete data privacy, client voice input uses self-hosted whisper.cpp / faster-whisper speech-to-text models hosted on the local gateway, paired with native platform SpeechSynthesis voice-over engines on client devices.</w:t>
      </w:r>
    </w:p>
    <w:p>
      <w:pPr>
        <w:spacing w:before="60" w:after="60"/>
      </w:pPr>
      <w:r>
        <w:rPr>
          <w:rFonts w:ascii="Arial" w:hAnsi="Arial"/>
          <w:b/>
          <w:color w:val="003470"/>
          <w:sz w:val="19"/>
        </w:rPr>
        <w:t xml:space="preserve">• 4. Edge Security &amp; TLS Termination (nginx &amp; Express API Gateway): </w:t>
      </w:r>
      <w:r>
        <w:rPr>
          <w:rFonts w:ascii="Arial" w:hAnsi="Arial"/>
          <w:color w:val="1E293B"/>
          <w:sz w:val="19"/>
        </w:rPr>
        <w:t>All traffic from mobile, web, and campus devices is encrypted in transit using TLS 1.3 HTTPS terminated at an nginx / Cloudflare edge node (with WAF and rate limiting) before routing to the Node.js / Express API service with JWT user authentication and RBAC policy enforcement.</w:t>
      </w:r>
    </w:p>
    <w:p>
      <w:pPr>
        <w:spacing w:before="60" w:after="60"/>
      </w:pPr>
      <w:r>
        <w:rPr>
          <w:rFonts w:ascii="Arial" w:hAnsi="Arial"/>
          <w:b/>
          <w:color w:val="003470"/>
          <w:sz w:val="19"/>
        </w:rPr>
        <w:t xml:space="preserve">• 5. Unified Relational &amp; Vector Storage (Postgres 16 + pgvector): </w:t>
      </w:r>
      <w:r>
        <w:rPr>
          <w:rFonts w:ascii="Arial" w:hAnsi="Arial"/>
          <w:color w:val="1E293B"/>
          <w:sz w:val="19"/>
        </w:rPr>
        <w:t>Relational ERP tables (employees, leaves, tickets, audit logs) and 1536-dimensional RAG document embeddings (knowledge_chunks) are stored in a unified Postgres 16 + pgvector database, guaranteeing transactional consistency and simplified single-node backup routines (RPO 24h / RTO 4h).</w:t>
      </w:r>
    </w:p>
    <w:p>
      <w:pPr>
        <w:spacing w:before="60" w:after="60"/>
      </w:pPr>
      <w:r>
        <w:rPr>
          <w:rFonts w:ascii="Arial" w:hAnsi="Arial"/>
          <w:b/>
          <w:color w:val="003470"/>
          <w:sz w:val="19"/>
        </w:rPr>
        <w:t xml:space="preserve">• 6. Cross-Cutting Operations (BullMQ, Redis &amp; Security Services): </w:t>
      </w:r>
      <w:r>
        <w:rPr>
          <w:rFonts w:ascii="Arial" w:hAnsi="Arial"/>
          <w:color w:val="1E293B"/>
          <w:sz w:val="19"/>
        </w:rPr>
        <w:t>Long-running background tasks are managed via a BullMQ + Redis job queue. System health is monitored through open metrics and structured logging, backed by automated nightly AES-256 encrypted backups.</w:t>
      </w:r>
    </w:p>
    <w:p>
      <w:pPr>
        <w:spacing w:before="280" w:after="120"/>
      </w:pPr>
      <w:r>
        <w:rPr>
          <w:rFonts w:ascii="Arial" w:hAnsi="Arial"/>
          <w:b/>
          <w:color w:val="003470"/>
          <w:sz w:val="30"/>
        </w:rPr>
        <w:t>4. Asian Christian Academy AI Agent Ecosystem</w:t>
      </w:r>
    </w:p>
    <w:p>
      <w:pPr>
        <w:spacing w:before="280" w:after="120"/>
      </w:pPr>
      <w:r>
        <w:rPr>
          <w:rFonts w:ascii="Arial" w:hAnsi="Arial"/>
          <w:b/>
          <w:color w:val="003470"/>
          <w:sz w:val="25"/>
        </w:rPr>
        <w:t>4.1 Active Core Agents &amp; Services</w:t>
      </w:r>
    </w:p>
    <w:p>
      <w:r>
        <w:rPr>
          <w:rFonts w:ascii="Arial" w:hAnsi="Arial"/>
          <w:b/>
          <w:color w:val="003470"/>
          <w:sz w:val="19"/>
        </w:rPr>
        <w:t xml:space="preserve">• 📚 RAG Policy Search Agent (ragService.js): </w:t>
      </w:r>
      <w:r>
        <w:rPr>
          <w:rFonts w:ascii="Arial" w:hAnsi="Arial"/>
          <w:color w:val="1E293B"/>
          <w:sz w:val="19"/>
        </w:rPr>
        <w:t>Performs grounded vector &amp; BM25 search over indexed company policy documents.</w:t>
      </w:r>
    </w:p>
    <w:p>
      <w:r>
        <w:rPr>
          <w:rFonts w:ascii="Arial" w:hAnsi="Arial"/>
          <w:b/>
          <w:color w:val="003470"/>
          <w:sz w:val="19"/>
        </w:rPr>
        <w:t xml:space="preserve">• ⚡ Autonomous Action Agent (agentService.js): </w:t>
      </w:r>
      <w:r>
        <w:rPr>
          <w:rFonts w:ascii="Arial" w:hAnsi="Arial"/>
          <w:color w:val="1E293B"/>
          <w:sz w:val="19"/>
        </w:rPr>
        <w:t>Converts user prompts into backend tool calls (createTicket, applyLeave, sendMessageToUserOrChannel).</w:t>
      </w:r>
    </w:p>
    <w:p>
      <w:r>
        <w:rPr>
          <w:rFonts w:ascii="Arial" w:hAnsi="Arial"/>
          <w:b/>
          <w:color w:val="003470"/>
          <w:sz w:val="19"/>
        </w:rPr>
        <w:t xml:space="preserve">• 💬 Central Event Bus (ChatService): </w:t>
      </w:r>
      <w:r>
        <w:rPr>
          <w:rFonts w:ascii="Arial" w:hAnsi="Arial"/>
          <w:color w:val="1E293B"/>
          <w:sz w:val="19"/>
        </w:rPr>
        <w:t>Cross-window synchronization service broadcasting live chat updates.</w:t>
      </w:r>
    </w:p>
    <w:p>
      <w:r>
        <w:rPr>
          <w:rFonts w:ascii="Arial" w:hAnsi="Arial"/>
          <w:b/>
          <w:color w:val="003470"/>
          <w:sz w:val="19"/>
        </w:rPr>
        <w:t xml:space="preserve">• 🎙️ Voice I/O Interface (VoiceHelper): </w:t>
      </w:r>
      <w:r>
        <w:rPr>
          <w:rFonts w:ascii="Arial" w:hAnsi="Arial"/>
          <w:color w:val="1E293B"/>
          <w:sz w:val="19"/>
        </w:rPr>
        <w:t>Client-side voice interaction wrapper managing mic audio and TTS playback.</w:t>
      </w:r>
    </w:p>
    <w:p>
      <w:r>
        <w:rPr>
          <w:rFonts w:ascii="Arial" w:hAnsi="Arial"/>
          <w:b/>
          <w:color w:val="003470"/>
          <w:sz w:val="19"/>
        </w:rPr>
        <w:t xml:space="preserve">• 🛡️ HITL Safety Manager: </w:t>
      </w:r>
      <w:r>
        <w:rPr>
          <w:rFonts w:ascii="Arial" w:hAnsi="Arial"/>
          <w:color w:val="1E293B"/>
          <w:sz w:val="19"/>
        </w:rPr>
        <w:t>Staging service placing high-risk database mutations in agent_pending_actions for confirmation.</w:t>
      </w:r>
    </w:p>
    <w:p>
      <w:pPr>
        <w:spacing w:before="280" w:after="120"/>
      </w:pPr>
      <w:r>
        <w:rPr>
          <w:rFonts w:ascii="Arial" w:hAnsi="Arial"/>
          <w:b/>
          <w:color w:val="003470"/>
          <w:sz w:val="25"/>
        </w:rPr>
        <w:t>4.2 Planned Expansion Agents</w:t>
      </w:r>
    </w:p>
    <w:p>
      <w:r>
        <w:rPr>
          <w:rFonts w:ascii="Arial" w:hAnsi="Arial"/>
          <w:b/>
          <w:color w:val="003470"/>
          <w:sz w:val="19"/>
        </w:rPr>
        <w:t xml:space="preserve">• 💰 Payroll &amp; Tax Intelligence Agent: </w:t>
      </w:r>
      <w:r>
        <w:rPr>
          <w:rFonts w:ascii="Arial" w:hAnsi="Arial"/>
          <w:color w:val="1E293B"/>
          <w:sz w:val="19"/>
        </w:rPr>
        <w:t>Computes salary breakdowns, tax regime optimizations, and reimbursement claims.</w:t>
      </w:r>
    </w:p>
    <w:p>
      <w:r>
        <w:rPr>
          <w:rFonts w:ascii="Arial" w:hAnsi="Arial"/>
          <w:b/>
          <w:color w:val="003470"/>
          <w:sz w:val="19"/>
        </w:rPr>
        <w:t xml:space="preserve">• ⏰ Attendance &amp; Shift Anomaly Agent: </w:t>
      </w:r>
      <w:r>
        <w:rPr>
          <w:rFonts w:ascii="Arial" w:hAnsi="Arial"/>
          <w:color w:val="1E293B"/>
          <w:sz w:val="19"/>
        </w:rPr>
        <w:t>Scans clock-in patterns and proactively suggests regularization workflows.</w:t>
      </w:r>
    </w:p>
    <w:p>
      <w:r>
        <w:rPr>
          <w:rFonts w:ascii="Arial" w:hAnsi="Arial"/>
          <w:b/>
          <w:color w:val="003470"/>
          <w:sz w:val="19"/>
        </w:rPr>
        <w:t xml:space="preserve">• 📸 Multi-Modal Vision &amp; OCR Agent: </w:t>
      </w:r>
      <w:r>
        <w:rPr>
          <w:rFonts w:ascii="Arial" w:hAnsi="Arial"/>
          <w:color w:val="1E293B"/>
          <w:sz w:val="19"/>
        </w:rPr>
        <w:t>Extracts line items from expense receipts, medical bills, and onboarding ID cards.</w:t>
      </w:r>
    </w:p>
    <w:p>
      <w:r>
        <w:rPr>
          <w:rFonts w:ascii="Arial" w:hAnsi="Arial"/>
          <w:b/>
          <w:color w:val="003470"/>
          <w:sz w:val="19"/>
        </w:rPr>
        <w:t xml:space="preserve">• 🏷️ IT Diagnostic &amp; Asset Specialist: </w:t>
      </w:r>
      <w:r>
        <w:rPr>
          <w:rFonts w:ascii="Arial" w:hAnsi="Arial"/>
          <w:color w:val="1E293B"/>
          <w:sz w:val="19"/>
        </w:rPr>
        <w:t>Tracks asset health, compares vendor pricing, and monitors PO approvals (&gt; ₹1 Lakh).</w:t>
      </w:r>
    </w:p>
    <w:p>
      <w:r>
        <w:rPr>
          <w:rFonts w:ascii="Arial" w:hAnsi="Arial"/>
          <w:b/>
          <w:color w:val="003470"/>
          <w:sz w:val="19"/>
        </w:rPr>
        <w:t xml:space="preserve">• 🔍 Hierarchical Escalation Agent: </w:t>
      </w:r>
      <w:r>
        <w:rPr>
          <w:rFonts w:ascii="Arial" w:hAnsi="Arial"/>
          <w:color w:val="1E293B"/>
          <w:sz w:val="19"/>
        </w:rPr>
        <w:t>Traverses organizational reporting trees for complex cross-department escalations.</w:t>
      </w:r>
    </w:p>
    <w:p>
      <w:pPr>
        <w:spacing w:before="280" w:after="120"/>
      </w:pPr>
      <w:r>
        <w:rPr>
          <w:rFonts w:ascii="Arial" w:hAnsi="Arial"/>
          <w:b/>
          <w:color w:val="003470"/>
          <w:sz w:val="30"/>
        </w:rPr>
        <w:t>5. Programming Language Evaluation for Self-Hosted AI Infrastructure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47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Language</w:t>
            </w:r>
          </w:p>
        </w:tc>
        <w:tc>
          <w:tcPr>
            <w:tcW w:type="dxa" w:w="3120"/>
            <w:shd w:fill="00347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Evaluation &amp; Suitability</w:t>
            </w:r>
          </w:p>
        </w:tc>
        <w:tc>
          <w:tcPr>
            <w:tcW w:type="dxa" w:w="3120"/>
            <w:shd w:fill="00347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Strengths for Self-Hosted AI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1E293B"/>
                <w:sz w:val="18"/>
              </w:rPr>
              <w:t>Rust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E293B"/>
                <w:sz w:val="18"/>
              </w:rPr>
              <w:t>5/5 - Recommended Core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E293B"/>
                <w:sz w:val="18"/>
              </w:rPr>
              <w:t>Memory safety without GC pauses, zero-cost abstractions, native C/CUDA interop, high-speed tensor libraries (Candle / Burn), WebAssembly compilation.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1E293B"/>
                <w:sz w:val="18"/>
              </w:rPr>
              <w:t>Python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E293B"/>
                <w:sz w:val="18"/>
              </w:rPr>
              <w:t>4/5 - Essential Fine-Tuning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E293B"/>
                <w:sz w:val="18"/>
              </w:rPr>
              <w:t>Unrivaled AI ecosystem (PyTorch, JAX, HuggingFace, vLLM). Standard language for dataset preparation and LoRA adapter fine-tuning.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1E293B"/>
                <w:sz w:val="18"/>
              </w:rPr>
              <w:t>C++ / CUDA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E293B"/>
                <w:sz w:val="18"/>
              </w:rPr>
              <w:t>4/5 - Low-Level GPU Kernels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E293B"/>
                <w:sz w:val="18"/>
              </w:rPr>
              <w:t>Foundation of GGUF, llama.cpp, and TensorRT. Maximum low-level GPU hardware control.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1E293B"/>
                <w:sz w:val="18"/>
              </w:rPr>
              <w:t>Mojo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E293B"/>
                <w:sz w:val="18"/>
              </w:rPr>
              <w:t>3/5 - Emerging AI Tech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E293B"/>
                <w:sz w:val="18"/>
              </w:rPr>
              <w:t>Python superset compiling to native C speed with high-performance matrix math capabilities.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