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5E4EBD"/>
          <w:sz w:val="44"/>
        </w:rPr>
        <w:t>HRMS ERP Portal: Product Workflow &amp; Modules Blueprint</w:t>
      </w:r>
    </w:p>
    <w:p>
      <w:pPr>
        <w:spacing w:after="560"/>
        <w:jc w:val="center"/>
      </w:pPr>
      <w:r>
        <w:rPr>
          <w:rFonts w:ascii="Calibri" w:hAnsi="Calibri"/>
          <w:i/>
          <w:color w:val="475569"/>
          <w:sz w:val="22"/>
        </w:rPr>
        <w:t>Executive Workflow Blueprint &amp; Entra ID Integration Guide</w:t>
      </w:r>
    </w:p>
    <w:p>
      <w:pPr>
        <w:pStyle w:val="Heading1"/>
        <w:keepNext/>
        <w:spacing w:before="0" w:after="120"/>
      </w:pPr>
      <w:r>
        <w:rPr>
          <w:rFonts w:ascii="Calibri" w:hAnsi="Calibri"/>
          <w:b/>
          <w:color w:val="5E4EBD"/>
          <w:sz w:val="36"/>
        </w:rPr>
        <w:t>1. Visual Workflow Chart</w:t>
      </w:r>
    </w:p>
    <w:p>
      <w:r>
        <w:t>The following diagram illustrates the user flow, navigation routing paths, and subsystem modules available inside the portal:</w:t>
      </w: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5E4EBD"/>
          <w:sz w:val="36"/>
        </w:rPr>
        <w:t>2. Main Portal Modules</w:t>
      </w:r>
    </w:p>
    <w:p>
      <w:r>
        <w:t>The ERP application restructures standard navigation logs down to five key interactive modules:</w:t>
      </w:r>
    </w:p>
    <w:p>
      <w:pPr>
        <w:pStyle w:val="ListBullet"/>
        <w:spacing w:after="80"/>
      </w:pPr>
      <w:r>
        <w:rPr>
          <w:b/>
        </w:rPr>
        <w:t xml:space="preserve">Home (Dashboard): </w:t>
      </w:r>
      <w:r>
        <w:t>Horizontal quick-launch department portals + announcements feed.</w:t>
      </w:r>
    </w:p>
    <w:p>
      <w:pPr>
        <w:pStyle w:val="ListBullet"/>
        <w:spacing w:after="80"/>
      </w:pPr>
      <w:r>
        <w:rPr>
          <w:b/>
        </w:rPr>
        <w:t xml:space="preserve">Me (Personal Log): </w:t>
      </w:r>
      <w:r>
        <w:t>Attendance punches, personal leave balance counters, and profile details.</w:t>
      </w:r>
    </w:p>
    <w:p>
      <w:pPr>
        <w:pStyle w:val="ListBullet"/>
        <w:spacing w:after="80"/>
      </w:pPr>
      <w:r>
        <w:rPr>
          <w:b/>
        </w:rPr>
        <w:t xml:space="preserve">Mail (Outlook Client): </w:t>
      </w:r>
      <w:r>
        <w:t>Integrated outlook-style email client sync, read detail viewer, and composing.</w:t>
      </w:r>
    </w:p>
    <w:p>
      <w:pPr>
        <w:pStyle w:val="ListBullet"/>
        <w:spacing w:after="80"/>
      </w:pPr>
      <w:r>
        <w:rPr>
          <w:b/>
        </w:rPr>
        <w:t xml:space="preserve">Chat (Teams Workspace): </w:t>
      </w:r>
      <w:r>
        <w:t>Slack/Teams-style workspace channels, DMs, status indicators, and messages.</w:t>
      </w:r>
    </w:p>
    <w:p>
      <w:pPr>
        <w:pStyle w:val="ListBullet"/>
        <w:spacing w:after="80"/>
      </w:pPr>
      <w:r>
        <w:rPr>
          <w:b/>
        </w:rPr>
        <w:t xml:space="preserve">Org (Corporate Hierarchy): </w:t>
      </w:r>
      <w:r>
        <w:t>colleague search lookup and visual report hierarchy tree.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5E4EBD"/>
          <w:sz w:val="36"/>
        </w:rPr>
        <w:t>3. Quick-Launch Department Portals</w:t>
      </w:r>
    </w:p>
    <w:p>
      <w:r>
        <w:t>Tapping any of the department widgets (Media, Maintenance, Finance, CPD, HR, Inventory, HOB) launches the customized overlay sheet containing:</w:t>
      </w:r>
    </w:p>
    <w:p>
      <w:pPr>
        <w:pStyle w:val="ListBullet"/>
        <w:spacing w:after="80"/>
      </w:pPr>
      <w:r>
        <w:rPr>
          <w:b/>
        </w:rPr>
        <w:t xml:space="preserve">Team Presence: </w:t>
      </w:r>
      <w:r>
        <w:t>Visual overview displaying which specific department teammates are logged clocked IN/OUT.</w:t>
      </w:r>
    </w:p>
    <w:p>
      <w:pPr>
        <w:pStyle w:val="ListBullet"/>
        <w:spacing w:after="240"/>
      </w:pPr>
      <w:r>
        <w:rPr>
          <w:b/>
        </w:rPr>
        <w:t xml:space="preserve">Service ticket composer: </w:t>
      </w:r>
      <w:r>
        <w:t>Custom targeted helpdesk selector (e.g. plumbing repairs, AC issues, livestream setups).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75569"/>
          <w:sz w:val="26"/>
        </w:rPr>
        <w:t>Department Operations Details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Department</w:t>
            </w:r>
          </w:p>
        </w:tc>
        <w:tc>
          <w:tcPr>
            <w:tcW w:type="dxa" w:w="3120"/>
          </w:tcPr>
          <w:p>
            <w:r>
              <w:t>Team Presence Tracker</w:t>
            </w:r>
          </w:p>
        </w:tc>
        <w:tc>
          <w:tcPr>
            <w:tcW w:type="dxa" w:w="3120"/>
          </w:tcPr>
          <w:p>
            <w:r>
              <w:t>Ticketing Category Options</w:t>
            </w:r>
          </w:p>
        </w:tc>
      </w:tr>
      <w:tr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r>
              <w:t>AV team attendance logs</w:t>
            </w:r>
          </w:p>
        </w:tc>
        <w:tc>
          <w:tcPr>
            <w:tcW w:type="dxa" w:w="3120"/>
          </w:tcPr>
          <w:p>
            <w:r>
              <w:t>Video editing, stream setup, photography booking</w:t>
            </w:r>
          </w:p>
        </w:tc>
      </w:tr>
      <w:tr>
        <w:tc>
          <w:tcPr>
            <w:tcW w:type="dxa" w:w="3120"/>
          </w:tcPr>
          <w:p>
            <w:r>
              <w:t>Maintenance</w:t>
            </w:r>
          </w:p>
        </w:tc>
        <w:tc>
          <w:tcPr>
            <w:tcW w:type="dxa" w:w="3120"/>
          </w:tcPr>
          <w:p>
            <w:r>
              <w:t>Facilities &amp; utility logs</w:t>
            </w:r>
          </w:p>
        </w:tc>
        <w:tc>
          <w:tcPr>
            <w:tcW w:type="dxa" w:w="3120"/>
          </w:tcPr>
          <w:p>
            <w:r>
              <w:t>Light bulb change, plumbing, carpentry, AC repair</w:t>
            </w:r>
          </w:p>
        </w:tc>
      </w:tr>
      <w:tr>
        <w:tc>
          <w:tcPr>
            <w:tcW w:type="dxa" w:w="3120"/>
          </w:tcPr>
          <w:p>
            <w:r>
              <w:t>Finance</w:t>
            </w:r>
          </w:p>
        </w:tc>
        <w:tc>
          <w:tcPr>
            <w:tcW w:type="dxa" w:w="3120"/>
          </w:tcPr>
          <w:p>
            <w:r>
              <w:t>Accounts team presence</w:t>
            </w:r>
          </w:p>
        </w:tc>
        <w:tc>
          <w:tcPr>
            <w:tcW w:type="dxa" w:w="3120"/>
          </w:tcPr>
          <w:p>
            <w:r>
              <w:t>Expense claims, salary query, tax declaration help</w:t>
            </w:r>
          </w:p>
        </w:tc>
      </w:tr>
      <w:tr>
        <w:tc>
          <w:tcPr>
            <w:tcW w:type="dxa" w:w="3120"/>
          </w:tcPr>
          <w:p>
            <w:r>
              <w:t>CPD</w:t>
            </w:r>
          </w:p>
        </w:tc>
        <w:tc>
          <w:tcPr>
            <w:tcW w:type="dxa" w:w="3120"/>
          </w:tcPr>
          <w:p>
            <w:r>
              <w:t>Training coordinators</w:t>
            </w:r>
          </w:p>
        </w:tc>
        <w:tc>
          <w:tcPr>
            <w:tcW w:type="dxa" w:w="3120"/>
          </w:tcPr>
          <w:p>
            <w:r>
              <w:t>Register for workshop, study material request</w:t>
            </w:r>
          </w:p>
        </w:tc>
      </w:tr>
      <w:tr>
        <w:tc>
          <w:tcPr>
            <w:tcW w:type="dxa" w:w="3120"/>
          </w:tcPr>
          <w:p>
            <w:r>
              <w:t>HR</w:t>
            </w:r>
          </w:p>
        </w:tc>
        <w:tc>
          <w:tcPr>
            <w:tcW w:type="dxa" w:w="3120"/>
          </w:tcPr>
          <w:p>
            <w:r>
              <w:t>HR representatives presence</w:t>
            </w:r>
          </w:p>
        </w:tc>
        <w:tc>
          <w:tcPr>
            <w:tcW w:type="dxa" w:w="3120"/>
          </w:tcPr>
          <w:p>
            <w:r>
              <w:t>Onboarding logs, profile updates, policy queries</w:t>
            </w:r>
          </w:p>
        </w:tc>
      </w:tr>
      <w:tr>
        <w:tc>
          <w:tcPr>
            <w:tcW w:type="dxa" w:w="3120"/>
          </w:tcPr>
          <w:p>
            <w:r>
              <w:t>Inventory</w:t>
            </w:r>
          </w:p>
        </w:tc>
        <w:tc>
          <w:tcPr>
            <w:tcW w:type="dxa" w:w="3120"/>
          </w:tcPr>
          <w:p>
            <w:r>
              <w:t>Storekeeper presence logs</w:t>
            </w:r>
          </w:p>
        </w:tc>
        <w:tc>
          <w:tcPr>
            <w:tcW w:type="dxa" w:w="3120"/>
          </w:tcPr>
          <w:p>
            <w:r>
              <w:t>Asset requests, stationeries, accessories request</w:t>
            </w:r>
          </w:p>
        </w:tc>
      </w:tr>
      <w:tr>
        <w:tc>
          <w:tcPr>
            <w:tcW w:type="dxa" w:w="3120"/>
          </w:tcPr>
          <w:p>
            <w:r>
              <w:t>HOB</w:t>
            </w:r>
          </w:p>
        </w:tc>
        <w:tc>
          <w:tcPr>
            <w:tcW w:type="dxa" w:w="3120"/>
          </w:tcPr>
          <w:p>
            <w:r>
              <w:t>Bakery &amp; kitchen presence</w:t>
            </w:r>
          </w:p>
        </w:tc>
        <w:tc>
          <w:tcPr>
            <w:tcW w:type="dxa" w:w="3120"/>
          </w:tcPr>
          <w:p>
            <w:r>
              <w:t>Catering orders, kitchen feedback, pantry issue</w:t>
            </w:r>
          </w:p>
        </w:tc>
      </w:tr>
    </w:tbl>
    <w:p>
      <w:pPr>
        <w:pStyle w:val="Heading1"/>
        <w:keepNext/>
        <w:spacing w:before="480" w:after="120"/>
      </w:pPr>
      <w:r>
        <w:rPr>
          <w:rFonts w:ascii="Calibri" w:hAnsi="Calibri"/>
          <w:b/>
          <w:color w:val="5E4EBD"/>
          <w:sz w:val="36"/>
        </w:rPr>
        <w:t>4. Microsoft Entra ID (Azure AD) Registration Procedure</w:t>
      </w:r>
    </w:p>
    <w:p>
      <w:r>
        <w:t>Follow these exact steps to register the application and obtain your active Client credentials:</w:t>
      </w:r>
    </w:p>
    <w:p>
      <w:pPr>
        <w:spacing w:before="160" w:after="80"/>
      </w:pPr>
      <w:r>
        <w:rPr>
          <w:b/>
          <w:color w:val="5E4EBD"/>
        </w:rPr>
        <w:t>Step 1: App Registration</w:t>
        <w:br/>
      </w:r>
      <w:r>
        <w:t>Log into the Entra Admin Center (https://entra.microsoft.com). Navigate to 'Identity' -&gt; 'Applications' -&gt; 'App registrations' and select 'New registration'. Enter 'ACA ERP Portal' as the name, choose Supported Account Types (e.g. Single-tenant for your org, or Multi-tenant if external domains participate), and click 'Register'.</w:t>
      </w:r>
    </w:p>
    <w:p>
      <w:pPr>
        <w:spacing w:before="160" w:after="80"/>
      </w:pPr>
      <w:r>
        <w:rPr>
          <w:b/>
          <w:color w:val="5E4EBD"/>
        </w:rPr>
        <w:t>Step 2: Note Directory Credentials</w:t>
        <w:br/>
      </w:r>
      <w:r>
        <w:t>Once registered, navigate to the app 'Overview' screen. Copy and save the 'Application (client) ID' and 'Directory (tenant) ID'. These keys are required in the Flutter configuration.</w:t>
      </w:r>
    </w:p>
    <w:p>
      <w:pPr>
        <w:spacing w:before="160" w:after="80"/>
      </w:pPr>
      <w:r>
        <w:rPr>
          <w:b/>
          <w:color w:val="5E4EBD"/>
        </w:rPr>
        <w:t>Step 3: Configure Authentication &amp; Redirect URIs</w:t>
        <w:br/>
      </w:r>
      <w:r>
        <w:t>Under 'Authentication', add target platforms. Select 'Single-page application' (for Flutter Web) and enter the URL (e.g. https://your-domain.com/). Select 'iOS/macOS' and 'Android' platforms and enter your App Bundle ID (com.acaindia.frontend) to auto-generate the iOS Redirect URI scheme (msauth.com.acaindia.frontend://auth). Check both ID Tokens and Access Tokens options in Implicit Grant flow if needed.</w:t>
      </w:r>
    </w:p>
    <w:p>
      <w:pPr>
        <w:spacing w:before="160" w:after="80"/>
      </w:pPr>
      <w:r>
        <w:rPr>
          <w:b/>
          <w:color w:val="5E4EBD"/>
        </w:rPr>
        <w:t>Step 4: Grant API Permissions (Microsoft Graph)</w:t>
        <w:br/>
      </w:r>
      <w:r>
        <w:t>Navigate to 'API Permissions' -&gt; 'Add a permission' -&gt; 'Microsoft Graph' -&gt; 'Delegated permissions'. Search and check the following permissions:</w:t>
        <w:br/>
        <w:t xml:space="preserve">  - User.Read (Sign-in and read user profile)</w:t>
        <w:br/>
        <w:t xml:space="preserve">  - Mail.ReadWrite (Sync inbox mails and save drafts)</w:t>
        <w:br/>
        <w:t xml:space="preserve">  - Mail.Send (Compose and send emails to anyone)</w:t>
        <w:br/>
        <w:t xml:space="preserve">  - offline_access (Retrieve refresh tokens for background silent renewals)</w:t>
        <w:br/>
        <w:t>Click 'Add permissions', and then select 'Grant admin consent for &lt;your_org&gt;' to pre-approve it for your users.</w:t>
      </w:r>
    </w:p>
    <w:p>
      <w:pPr>
        <w:spacing w:before="160" w:after="80"/>
      </w:pPr>
      <w:r>
        <w:rPr>
          <w:b/>
          <w:color w:val="5E4EBD"/>
        </w:rPr>
        <w:t>Step 5: Code Integration (PKCE Flow)</w:t>
        <w:br/>
      </w:r>
      <w:r>
        <w:t>Plug the Client ID and Tenant ID into the Flutter application's configuration config (e.g. utilizing the aad_oauth package). Ensure you use standard Authorization Code Flow with PKCE to bypass client secret requirements on mobile and single-page apps securely.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