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470"/>
          <w:sz w:val="44"/>
        </w:rPr>
        <w:t>Asian Christian Academy of India</w:t>
        <w:br/>
        <w:t>HRMs-ERP &amp; Proprietary Custom AI Engine Blueprint</w:t>
      </w:r>
    </w:p>
    <w:p>
      <w:pPr>
        <w:jc w:val="center"/>
      </w:pPr>
      <w:r>
        <w:rPr>
          <w:rFonts w:ascii="Arial" w:hAnsi="Arial"/>
          <w:color w:val="64748B"/>
          <w:sz w:val="22"/>
        </w:rPr>
        <w:t>Proprietary AI Strategy, Development Frameworks, Agent Portfolio &amp; Language Evaluation</w:t>
        <w:br/>
        <w:t>Version 3.0.0 Custom AI</w:t>
      </w:r>
    </w:p>
    <w:p/>
    <w:p>
      <w:pPr>
        <w:spacing w:before="280" w:after="120"/>
      </w:pPr>
      <w:r>
        <w:rPr>
          <w:rFonts w:ascii="Arial" w:hAnsi="Arial"/>
          <w:b/>
          <w:color w:val="003470"/>
          <w:sz w:val="30"/>
        </w:rPr>
        <w:t>1. Executive Summary &amp; Proprietary AI Vision</w:t>
      </w:r>
    </w:p>
    <w:p>
      <w:r>
        <w:rPr>
          <w:rFonts w:ascii="Arial" w:hAnsi="Arial"/>
          <w:sz w:val="20"/>
        </w:rPr>
        <w:t>This master architectural blueprint defines the technical specification, system design, agent portfolio, and custom development stack for building a 100% proprietary, self-hosted AI Engine for Asian Christian Academy of India. The system operates with total independence—eliminating third-party cloud API keys (zero OpenAI, zero Claude, zero Gemini API keys)—guaranteeing complete data privacy, zero per-token API costs, and sub-millisecond execution over a self-hosted neural model architecture.</w:t>
      </w:r>
    </w:p>
    <w:p>
      <w:pPr>
        <w:spacing w:before="280" w:after="120"/>
      </w:pPr>
      <w:r>
        <w:rPr>
          <w:rFonts w:ascii="Arial" w:hAnsi="Arial"/>
          <w:b/>
          <w:color w:val="003470"/>
          <w:sz w:val="30"/>
        </w:rPr>
        <w:t>2. Master System Architecture Chart (Self-Hosted Custom AI)</w:t>
      </w:r>
    </w:p>
    <w:p>
      <w:pPr>
        <w:spacing w:before="120" w:after="120"/>
      </w:pPr>
      <w:r>
        <w:rPr>
          <w:rFonts w:ascii="Courier New" w:hAnsi="Courier New"/>
          <w:b/>
          <w:color w:val="003470"/>
          <w:sz w:val="16"/>
        </w:rPr>
        <w:t>+-----------------------------------------------------------------------------------------+</w:t>
        <w:br/>
        <w:t>|  1. FRAMEWORKS &amp; UI ENGINE                                                              |</w:t>
        <w:br/>
        <w:t>|  Flutter 3.x (Dart) | Riverpod &amp; GoRouter | Web Speech STT + SpeechSynthesis TTS        |</w:t>
        <w:br/>
        <w:t>+-----------------------------------------------------------------------------------------+</w:t>
        <w:br/>
        <w:t xml:space="preserve">                                        |                                                  </w:t>
        <w:br/>
        <w:t xml:space="preserve">                                        v                                                  </w:t>
        <w:br/>
        <w:t>+-----------------------------------------------------------------------------------------+</w:t>
        <w:br/>
        <w:t>|  2. ASIAN CHRISTIAN ACADEMY ERP APPLICATION MODULES                                     |</w:t>
        <w:br/>
        <w:t>|  Dashboard (Presence/Polls) | Me (Attendance/Leaves) | Helpdesk (8 Depts) | Teams Chat |</w:t>
        <w:br/>
        <w:t>+-----------------------------------------------------------------------------------------+</w:t>
        <w:br/>
        <w:t xml:space="preserve">                                        |                                                  </w:t>
        <w:br/>
        <w:t xml:space="preserve">                                        v                                                  </w:t>
        <w:br/>
        <w:t>+-----------------------------------------------------------------------------------------+</w:t>
        <w:br/>
        <w:t>|  3. API GATEWAYS &amp; BRIDGES                                                              |</w:t>
        <w:br/>
        <w:t>|  Central ChatService Engine (ValueNotifier Event Bus) -&gt; Express API Gateway            |</w:t>
        <w:br/>
        <w:t>+-----------------------------------------------------------------------------------------+</w:t>
        <w:br/>
        <w:t xml:space="preserve">                                        |                                                  </w:t>
        <w:br/>
        <w:t xml:space="preserve">                                        v                                                  </w:t>
        <w:br/>
        <w:t>+-----------------------------------------------------------------------------------------+</w:t>
        <w:br/>
        <w:t>|  4. ACTIVE &amp; PLANNED AI AGENT ECOSYSTEM                                                 |</w:t>
        <w:br/>
        <w:t>|  RAG Policy Agent | Action Agent | Payroll Agent | Attendance Audit Agent | Vision Agent |</w:t>
        <w:br/>
        <w:t>+-----------------------------------------------------------------------------------------+</w:t>
        <w:br/>
        <w:t xml:space="preserve">                                        |                                                  </w:t>
        <w:br/>
        <w:t xml:space="preserve">                                        v                                                  </w:t>
        <w:br/>
        <w:t>+-----------------------------------------------------------------------------------------+</w:t>
        <w:br/>
        <w:t>|  5. PROPRIETARY NATIVE AI ENGINE (Self-Hosted Custom Stack)                            |</w:t>
        <w:br/>
        <w:t>|  Proprietary LLM &amp; Tensor Engine (Zero API Keys) &lt;-&gt; Enterprise Relational &amp; Vector DB  |</w:t>
        <w:br/>
        <w:t>+-----------------------------------------------------------------------------------------+</w:t>
        <w:br/>
        <w:t xml:space="preserve">                                        : (Expansion Phase)                                </w:t>
        <w:br/>
        <w:t xml:space="preserve">                                        v                                                  </w:t>
        <w:br/>
        <w:t>+-----------------------------------------------------------------------------------------+</w:t>
        <w:br/>
        <w:t>|  6. FUTURE AI TECHNOLOGY ROADMAP                                                        |</w:t>
        <w:br/>
        <w:t>|  Rust High-Performance Engine | Multi-Agent Swarm | SSE Streaming | GraphRAG | On-Device  |</w:t>
        <w:br/>
        <w:t>+-----------------------------------------------------------------------------------------+</w:t>
      </w:r>
    </w:p>
    <w:p>
      <w:pPr>
        <w:spacing w:before="280" w:after="120"/>
      </w:pPr>
      <w:r>
        <w:rPr>
          <w:rFonts w:ascii="Arial" w:hAnsi="Arial"/>
          <w:b/>
          <w:color w:val="003470"/>
          <w:sz w:val="30"/>
        </w:rPr>
        <w:t>3. Custom AI Development Stack &amp; Codebase Engineering</w:t>
      </w:r>
    </w:p>
    <w:p>
      <w:pPr>
        <w:spacing w:before="60" w:after="60"/>
      </w:pPr>
      <w:r>
        <w:rPr>
          <w:rFonts w:ascii="Arial" w:hAnsi="Arial"/>
          <w:b/>
          <w:color w:val="003470"/>
          <w:sz w:val="19"/>
        </w:rPr>
        <w:t xml:space="preserve">• 1. AI Model Fine-Tuning Framework (Python, PyTorch &amp; LoRA): </w:t>
      </w:r>
      <w:r>
        <w:rPr>
          <w:rFonts w:ascii="Arial" w:hAnsi="Arial"/>
          <w:color w:val="1E293B"/>
          <w:sz w:val="19"/>
        </w:rPr>
        <w:t>The neural model is fine-tuned on custom Asian Christian Academy of India HR policies, leave rules, and SOPs using PyTorch, HuggingFace Transformers, and PEFT / LoRA (Low-Rank Adaptation).</w:t>
      </w:r>
    </w:p>
    <w:p>
      <w:pPr>
        <w:spacing w:before="60" w:after="60"/>
      </w:pPr>
      <w:r>
        <w:rPr>
          <w:rFonts w:ascii="Arial" w:hAnsi="Arial"/>
          <w:b/>
          <w:color w:val="003470"/>
          <w:sz w:val="19"/>
        </w:rPr>
        <w:t xml:space="preserve">• 2. Low-Latency Local Inference Engine (vLLM &amp; llama.cpp): </w:t>
      </w:r>
      <w:r>
        <w:rPr>
          <w:rFonts w:ascii="Arial" w:hAnsi="Arial"/>
          <w:color w:val="1E293B"/>
          <w:sz w:val="19"/>
        </w:rPr>
        <w:t>Model execution runs on a self-hosted inference engine powered by vLLM and llama.cpp (GGUF / GGML 4-bit &amp; 8-bit Quantization), giving sub-millisecond tensor response speeds while keeping 100% of employee data private on local servers.</w:t>
      </w:r>
    </w:p>
    <w:p>
      <w:pPr>
        <w:spacing w:before="60" w:after="60"/>
      </w:pPr>
      <w:r>
        <w:rPr>
          <w:rFonts w:ascii="Arial" w:hAnsi="Arial"/>
          <w:b/>
          <w:color w:val="003470"/>
          <w:sz w:val="19"/>
        </w:rPr>
        <w:t xml:space="preserve">• 3. Custom BPE Tokenizer &amp; Domain Lexicon: </w:t>
      </w:r>
      <w:r>
        <w:rPr>
          <w:rFonts w:ascii="Arial" w:hAnsi="Arial"/>
          <w:color w:val="1E293B"/>
          <w:sz w:val="19"/>
        </w:rPr>
        <w:t>A custom Byte-Pair Encoding (BPE) tokenizer vocabulary is trained on ACA India organizational terminology, department codes (CPD, HOB, Media, Maintenance), and employee designations.</w:t>
      </w:r>
    </w:p>
    <w:p>
      <w:pPr>
        <w:spacing w:before="60" w:after="60"/>
      </w:pPr>
      <w:r>
        <w:rPr>
          <w:rFonts w:ascii="Arial" w:hAnsi="Arial"/>
          <w:b/>
          <w:color w:val="003470"/>
          <w:sz w:val="19"/>
        </w:rPr>
        <w:t xml:space="preserve">• 4. High-Performance Core Language Strategy (Rust &amp; C++): </w:t>
      </w:r>
      <w:r>
        <w:rPr>
          <w:rFonts w:ascii="Arial" w:hAnsi="Arial"/>
          <w:color w:val="1E293B"/>
          <w:sz w:val="19"/>
        </w:rPr>
        <w:t>For core high-throughput tensor operations and vector search indexing, the underlying engine uses Rust (Burn / Candle framework) and C++ / CUDA for memory-safe execution on GPU hardware.</w:t>
      </w:r>
    </w:p>
    <w:p>
      <w:pPr>
        <w:spacing w:before="60" w:after="60"/>
      </w:pPr>
      <w:r>
        <w:rPr>
          <w:rFonts w:ascii="Arial" w:hAnsi="Arial"/>
          <w:b/>
          <w:color w:val="003470"/>
          <w:sz w:val="19"/>
        </w:rPr>
        <w:t xml:space="preserve">• 5. Backend Gateway &amp; Microservice Codebase (Node.js / Express): </w:t>
      </w:r>
      <w:r>
        <w:rPr>
          <w:rFonts w:ascii="Arial" w:hAnsi="Arial"/>
          <w:color w:val="1E293B"/>
          <w:sz w:val="19"/>
        </w:rPr>
        <w:t>The backend microservice manages RAG document retrieval (ragService.js), autonomous function calling (agentService.js), and Human-In-The-Loop safety staging (agent_pending_actions).</w:t>
      </w:r>
    </w:p>
    <w:p>
      <w:pPr>
        <w:spacing w:before="60" w:after="60"/>
      </w:pPr>
      <w:r>
        <w:rPr>
          <w:rFonts w:ascii="Arial" w:hAnsi="Arial"/>
          <w:b/>
          <w:color w:val="003470"/>
          <w:sz w:val="19"/>
        </w:rPr>
        <w:t xml:space="preserve">• 6. Multi-Platform Client &amp; Voice Interface (Flutter &amp; Web Speech API): </w:t>
      </w:r>
      <w:r>
        <w:rPr>
          <w:rFonts w:ascii="Arial" w:hAnsi="Arial"/>
          <w:color w:val="1E293B"/>
          <w:sz w:val="19"/>
        </w:rPr>
        <w:t>The client app is built with Flutter 3.x (Dart), featuring hands-free Speech-To-Text mic recognition (Web Speech API) and automatic SpeechSynthesis Voice-Over output with manual replay speaker buttons.</w:t>
      </w:r>
    </w:p>
    <w:p>
      <w:pPr>
        <w:spacing w:before="280" w:after="120"/>
      </w:pPr>
      <w:r>
        <w:rPr>
          <w:rFonts w:ascii="Arial" w:hAnsi="Arial"/>
          <w:b/>
          <w:color w:val="003470"/>
          <w:sz w:val="30"/>
        </w:rPr>
        <w:t>4. Asian Christian Academy AI Agent Ecosystem</w:t>
      </w:r>
    </w:p>
    <w:p>
      <w:pPr>
        <w:spacing w:before="280" w:after="120"/>
      </w:pPr>
      <w:r>
        <w:rPr>
          <w:rFonts w:ascii="Arial" w:hAnsi="Arial"/>
          <w:b/>
          <w:color w:val="003470"/>
          <w:sz w:val="25"/>
        </w:rPr>
        <w:t>4.1 Active Agents Created So Far</w:t>
      </w:r>
    </w:p>
    <w:p>
      <w:r>
        <w:rPr>
          <w:rFonts w:ascii="Arial" w:hAnsi="Arial"/>
          <w:b/>
          <w:color w:val="003470"/>
          <w:sz w:val="19"/>
        </w:rPr>
        <w:t xml:space="preserve">• 📚 RAG Policy Search Agent (ragService.js): </w:t>
      </w:r>
      <w:r>
        <w:rPr>
          <w:rFonts w:ascii="Arial" w:hAnsi="Arial"/>
          <w:color w:val="1E293B"/>
          <w:sz w:val="19"/>
        </w:rPr>
        <w:t>Performs grounded vector &amp; BM25 search over indexed company policy documents.</w:t>
      </w:r>
    </w:p>
    <w:p>
      <w:r>
        <w:rPr>
          <w:rFonts w:ascii="Arial" w:hAnsi="Arial"/>
          <w:b/>
          <w:color w:val="003470"/>
          <w:sz w:val="19"/>
        </w:rPr>
        <w:t xml:space="preserve">• ⚡ Autonomous Action Agent (agentService.js): </w:t>
      </w:r>
      <w:r>
        <w:rPr>
          <w:rFonts w:ascii="Arial" w:hAnsi="Arial"/>
          <w:color w:val="1E293B"/>
          <w:sz w:val="19"/>
        </w:rPr>
        <w:t>Converts user prompts into backend tool calls (createTicket, applyLeave, sendMessageToUserOrChannel).</w:t>
      </w:r>
    </w:p>
    <w:p>
      <w:r>
        <w:rPr>
          <w:rFonts w:ascii="Arial" w:hAnsi="Arial"/>
          <w:b/>
          <w:color w:val="003470"/>
          <w:sz w:val="19"/>
        </w:rPr>
        <w:t xml:space="preserve">• 💬 Central Synchronization Agent (ChatService): </w:t>
      </w:r>
      <w:r>
        <w:rPr>
          <w:rFonts w:ascii="Arial" w:hAnsi="Arial"/>
          <w:color w:val="1E293B"/>
          <w:sz w:val="19"/>
        </w:rPr>
        <w:t>Event bus synchronizing chat messages across floating chatbots, drawers, and team channels.</w:t>
      </w:r>
    </w:p>
    <w:p>
      <w:r>
        <w:rPr>
          <w:rFonts w:ascii="Arial" w:hAnsi="Arial"/>
          <w:b/>
          <w:color w:val="003470"/>
          <w:sz w:val="19"/>
        </w:rPr>
        <w:t xml:space="preserve">• 🎙️ Voice &amp; Speech Agent (VoiceHelper): </w:t>
      </w:r>
      <w:r>
        <w:rPr>
          <w:rFonts w:ascii="Arial" w:hAnsi="Arial"/>
          <w:color w:val="1E293B"/>
          <w:sz w:val="19"/>
        </w:rPr>
        <w:t>Hands-free mic speech recognition &amp; automatic SpeechSynthesis Voice-Over output.</w:t>
      </w:r>
    </w:p>
    <w:p>
      <w:r>
        <w:rPr>
          <w:rFonts w:ascii="Arial" w:hAnsi="Arial"/>
          <w:b/>
          <w:color w:val="003470"/>
          <w:sz w:val="19"/>
        </w:rPr>
        <w:t xml:space="preserve">• 🛡️ HITL Safety Agent: </w:t>
      </w:r>
      <w:r>
        <w:rPr>
          <w:rFonts w:ascii="Arial" w:hAnsi="Arial"/>
          <w:color w:val="1E293B"/>
          <w:sz w:val="19"/>
        </w:rPr>
        <w:t>Evaluates risk classification (LOW/MEDIUM/HIGH) and stages high-risk actions in agent_pending_actions.</w:t>
      </w:r>
    </w:p>
    <w:p>
      <w:pPr>
        <w:spacing w:before="280" w:after="120"/>
      </w:pPr>
      <w:r>
        <w:rPr>
          <w:rFonts w:ascii="Arial" w:hAnsi="Arial"/>
          <w:b/>
          <w:color w:val="003470"/>
          <w:sz w:val="25"/>
        </w:rPr>
        <w:t>4.2 New AI Agents Planned for Future Development</w:t>
      </w:r>
    </w:p>
    <w:p>
      <w:r>
        <w:rPr>
          <w:rFonts w:ascii="Arial" w:hAnsi="Arial"/>
          <w:b/>
          <w:color w:val="003470"/>
          <w:sz w:val="19"/>
        </w:rPr>
        <w:t xml:space="preserve">• 💰 Payroll &amp; Tax Intelligence Agent: </w:t>
      </w:r>
      <w:r>
        <w:rPr>
          <w:rFonts w:ascii="Arial" w:hAnsi="Arial"/>
          <w:color w:val="1E293B"/>
          <w:sz w:val="19"/>
        </w:rPr>
        <w:t>Computes salary breakdowns, tax regime optimizations, and reimbursement claims.</w:t>
      </w:r>
    </w:p>
    <w:p>
      <w:r>
        <w:rPr>
          <w:rFonts w:ascii="Arial" w:hAnsi="Arial"/>
          <w:b/>
          <w:color w:val="003470"/>
          <w:sz w:val="19"/>
        </w:rPr>
        <w:t xml:space="preserve">• ⏰ Attendance &amp; Shift Anomaly Audit Agent: </w:t>
      </w:r>
      <w:r>
        <w:rPr>
          <w:rFonts w:ascii="Arial" w:hAnsi="Arial"/>
          <w:color w:val="1E293B"/>
          <w:sz w:val="19"/>
        </w:rPr>
        <w:t>Scans clock-in patterns and proactively suggests regularization workflows.</w:t>
      </w:r>
    </w:p>
    <w:p>
      <w:r>
        <w:rPr>
          <w:rFonts w:ascii="Arial" w:hAnsi="Arial"/>
          <w:b/>
          <w:color w:val="003470"/>
          <w:sz w:val="19"/>
        </w:rPr>
        <w:t xml:space="preserve">• 📸 Multi-Modal Vision &amp; OCR Agent: </w:t>
      </w:r>
      <w:r>
        <w:rPr>
          <w:rFonts w:ascii="Arial" w:hAnsi="Arial"/>
          <w:color w:val="1E293B"/>
          <w:sz w:val="19"/>
        </w:rPr>
        <w:t>Extracts line items from expense receipts, medical bills, and onboarding ID cards.</w:t>
      </w:r>
    </w:p>
    <w:p>
      <w:r>
        <w:rPr>
          <w:rFonts w:ascii="Arial" w:hAnsi="Arial"/>
          <w:b/>
          <w:color w:val="003470"/>
          <w:sz w:val="19"/>
        </w:rPr>
        <w:t xml:space="preserve">• 🏷️ IT Diagnostic &amp; Procurement Specialist: </w:t>
      </w:r>
      <w:r>
        <w:rPr>
          <w:rFonts w:ascii="Arial" w:hAnsi="Arial"/>
          <w:color w:val="1E293B"/>
          <w:sz w:val="19"/>
        </w:rPr>
        <w:t>Tracks asset health, compares vendor pricing, and monitors PO approvals (&gt; ₹1 Lakh).</w:t>
      </w:r>
    </w:p>
    <w:p>
      <w:r>
        <w:rPr>
          <w:rFonts w:ascii="Arial" w:hAnsi="Arial"/>
          <w:b/>
          <w:color w:val="003470"/>
          <w:sz w:val="19"/>
        </w:rPr>
        <w:t xml:space="preserve">• 🔍 Hierarchical Escalation Agent: </w:t>
      </w:r>
      <w:r>
        <w:rPr>
          <w:rFonts w:ascii="Arial" w:hAnsi="Arial"/>
          <w:color w:val="1E293B"/>
          <w:sz w:val="19"/>
        </w:rPr>
        <w:t>Traverses organizational reporting trees for complex cross-department escalations.</w:t>
      </w:r>
    </w:p>
    <w:p>
      <w:pPr>
        <w:spacing w:before="280" w:after="120"/>
      </w:pPr>
      <w:r>
        <w:rPr>
          <w:rFonts w:ascii="Arial" w:hAnsi="Arial"/>
          <w:b/>
          <w:color w:val="003470"/>
          <w:sz w:val="30"/>
        </w:rPr>
        <w:t>5. Programming Language Evaluation for Custom AI Development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470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Language</w:t>
            </w:r>
          </w:p>
        </w:tc>
        <w:tc>
          <w:tcPr>
            <w:tcW w:type="dxa" w:w="3120"/>
            <w:shd w:fill="003470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Suitability</w:t>
            </w:r>
          </w:p>
        </w:tc>
        <w:tc>
          <w:tcPr>
            <w:tcW w:type="dxa" w:w="3120"/>
            <w:shd w:fill="003470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Strengths for Proprietary AI Development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1E293B"/>
                <w:sz w:val="18"/>
              </w:rPr>
              <w:t>🦀 Rust (RECOMMENDED CORE)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E293B"/>
                <w:sz w:val="18"/>
              </w:rPr>
              <w:t>Highest (5/5 Stars)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E293B"/>
                <w:sz w:val="18"/>
              </w:rPr>
              <w:t>Memory safety without GC pauses, zero-cost abstractions, native C/CUDA interop, blazing fast tensor execution (Burn, Candle), WebAssembly compilation.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1E293B"/>
                <w:sz w:val="18"/>
              </w:rPr>
              <w:t>🐍 Python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E293B"/>
                <w:sz w:val="18"/>
              </w:rPr>
              <w:t>High (4/5 Stars - R&amp;D)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E293B"/>
                <w:sz w:val="18"/>
              </w:rPr>
              <w:t>Unrivaled AI ecosystem (PyTorch, JAX, HuggingFace, vLLM). Essential for model fine-tuning &amp; research.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1E293B"/>
                <w:sz w:val="18"/>
              </w:rPr>
              <w:t>⚡ C++ / CUDA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E293B"/>
                <w:sz w:val="18"/>
              </w:rPr>
              <w:t>High (4/5 Stars - Low Level)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E293B"/>
                <w:sz w:val="18"/>
              </w:rPr>
              <w:t>Foundation of GGML, llama.cpp, and TensorRT. Maximum low-level GPU hardware control.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1E293B"/>
                <w:sz w:val="18"/>
              </w:rPr>
              <w:t>🔥 Mojo / Julia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E293B"/>
                <w:sz w:val="18"/>
              </w:rPr>
              <w:t>Emerging (3/5 Stars)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E293B"/>
                <w:sz w:val="18"/>
              </w:rPr>
              <w:t>Mojo compiles Python syntax to native C speed. High-performance matrix math capabilities.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