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5400"/>
        </w:tabs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tabs>
          <w:tab w:val="left" w:pos="3540"/>
          <w:tab w:val="center" w:pos="4500"/>
          <w:tab w:val="left" w:pos="5400"/>
        </w:tabs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540"/>
          <w:tab w:val="center" w:pos="4500"/>
          <w:tab w:val="left" w:pos="5400"/>
        </w:tabs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V Vinodh Kumar</w:t>
      </w:r>
    </w:p>
    <w:p w:rsidR="00000000" w:rsidDel="00000000" w:rsidP="00000000" w:rsidRDefault="00000000" w:rsidRPr="00000000" w14:paraId="00000004">
      <w:pPr>
        <w:tabs>
          <w:tab w:val="left" w:pos="5400"/>
        </w:tabs>
        <w:jc w:val="center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Contact 09940098978; </w:t>
      </w:r>
      <w:r w:rsidDel="00000000" w:rsidR="00000000" w:rsidRPr="00000000">
        <w:rPr>
          <w:rFonts w:ascii="Book Antiqua" w:cs="Book Antiqua" w:eastAsia="Book Antiqua" w:hAnsi="Book Antiqua"/>
          <w:b w:val="0"/>
          <w:color w:val="222222"/>
          <w:highlight w:val="white"/>
          <w:rtl w:val="0"/>
        </w:rPr>
        <w:t xml:space="preserve">vvinodh.job@gmail.com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tabs>
          <w:tab w:val="left" w:pos="5400"/>
        </w:tabs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tabs>
          <w:tab w:val="left" w:pos="5400"/>
        </w:tabs>
        <w:rPr>
          <w:rFonts w:ascii="Book Antiqua" w:cs="Book Antiqua" w:eastAsia="Book Antiqua" w:hAnsi="Book Antiqua"/>
          <w:color w:val="1f497d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1f497d"/>
          <w:sz w:val="24"/>
          <w:szCs w:val="24"/>
          <w:rtl w:val="0"/>
        </w:rPr>
        <w:t xml:space="preserve">Professional Details</w:t>
      </w:r>
    </w:p>
    <w:p w:rsidR="00000000" w:rsidDel="00000000" w:rsidP="00000000" w:rsidRDefault="00000000" w:rsidRPr="00000000" w14:paraId="00000007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a6a6a6" w:val="clear"/>
        <w:jc w:val="center"/>
        <w:rPr>
          <w:rFonts w:ascii="Book Antiqua" w:cs="Book Antiqua" w:eastAsia="Book Antiqua" w:hAnsi="Book Antiqua"/>
          <w:b w:val="1"/>
          <w:color w:val="ffffff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Book Antiqua" w:cs="Book Antiqua" w:eastAsia="Book Antiqua" w:hAnsi="Book Antiqua"/>
          <w:b w:val="1"/>
          <w:color w:val="ffffff"/>
          <w:sz w:val="28"/>
          <w:szCs w:val="28"/>
          <w:rtl w:val="0"/>
        </w:rPr>
        <w:t xml:space="preserve">Industry – Warehousing &amp; Industrial Park – 9 years</w:t>
      </w:r>
    </w:p>
    <w:p w:rsidR="00000000" w:rsidDel="00000000" w:rsidP="00000000" w:rsidRDefault="00000000" w:rsidRPr="00000000" w14:paraId="00000009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2298"/>
        <w:gridCol w:w="1631"/>
        <w:gridCol w:w="1261"/>
        <w:gridCol w:w="2607"/>
        <w:gridCol w:w="2953"/>
        <w:tblGridChange w:id="0">
          <w:tblGrid>
            <w:gridCol w:w="825"/>
            <w:gridCol w:w="2298"/>
            <w:gridCol w:w="1631"/>
            <w:gridCol w:w="1261"/>
            <w:gridCol w:w="2607"/>
            <w:gridCol w:w="2953"/>
          </w:tblGrid>
        </w:tblGridChange>
      </w:tblGrid>
      <w:tr>
        <w:trPr>
          <w:trHeight w:val="346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S.No</w:t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Company</w:t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Tenure</w:t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Position</w:t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Responsibilities</w:t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Achievements</w:t>
            </w:r>
          </w:p>
        </w:tc>
      </w:tr>
      <w:tr>
        <w:trPr>
          <w:trHeight w:val="1571" w:hRule="atLeast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</w:rPr>
              <w:drawing>
                <wp:inline distB="0" distT="0" distL="0" distR="0">
                  <wp:extent cx="696437" cy="531135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437" cy="531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Oct 2010 - Feb 2014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Manager - BD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Primary - Selling/leasing the warehousing space &amp; industrial land - 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Lead generation –</w:t>
            </w:r>
          </w:p>
          <w:p w:rsidR="00000000" w:rsidDel="00000000" w:rsidP="00000000" w:rsidRDefault="00000000" w:rsidRPr="00000000" w14:paraId="0000001F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I Channel Development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 – Trade Bodies, IPCs, Advisory firms, Business Centres, EPC etc</w:t>
              <w:br w:type="textWrapping"/>
            </w:r>
          </w:p>
          <w:p w:rsidR="00000000" w:rsidDel="00000000" w:rsidP="00000000" w:rsidRDefault="00000000" w:rsidRPr="00000000" w14:paraId="00000020">
            <w:pPr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II Pipeline Development </w:t>
            </w:r>
          </w:p>
          <w:p w:rsidR="00000000" w:rsidDel="00000000" w:rsidP="00000000" w:rsidRDefault="00000000" w:rsidRPr="00000000" w14:paraId="00000021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III Networking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 – Attending Exhibitions, seminars of events on target sectors</w:t>
            </w:r>
          </w:p>
          <w:p w:rsidR="00000000" w:rsidDel="00000000" w:rsidP="00000000" w:rsidRDefault="00000000" w:rsidRPr="00000000" w14:paraId="00000022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IV Secondary Research – 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News articles  etc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Closed deals with Cadbury (134 acres), Unicharm (42 acres), NHK Spring (5 acres), Bergen Pipes (5 acres) and Eagle Burgmann (10 acres)</w:t>
            </w:r>
          </w:p>
        </w:tc>
      </w:tr>
      <w:tr>
        <w:trPr>
          <w:trHeight w:val="915" w:hRule="atLeast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</w:rPr>
              <w:drawing>
                <wp:inline distB="0" distT="0" distL="0" distR="0">
                  <wp:extent cx="1245642" cy="55444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642" cy="554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Feb 2014 - Feb 2016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Manager - BD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Project did not take off</w:t>
            </w:r>
          </w:p>
        </w:tc>
      </w:tr>
      <w:tr>
        <w:trPr>
          <w:trHeight w:val="2015" w:hRule="atLeast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</w:rPr>
              <w:drawing>
                <wp:inline distB="0" distT="0" distL="0" distR="0">
                  <wp:extent cx="777338" cy="372696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338" cy="3726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Jun-16 – May 2018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Sr Manager - BD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Closed 4 deals – Nissi (1.27 acres), Shine Cables (1.66 acres) in SEZ and Color Sports (2500 sft) and an oil presser company (2500 sft) in FTWZ</w:t>
            </w:r>
          </w:p>
        </w:tc>
      </w:tr>
      <w:tr>
        <w:trPr>
          <w:trHeight w:val="1164" w:hRule="atLeast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63554" cy="350972"/>
                  <wp:effectExtent b="0" l="0" r="0" t="0"/>
                  <wp:docPr descr="Description: Description: New logo.jpg" id="6" name="image1.jpg"/>
                  <a:graphic>
                    <a:graphicData uri="http://schemas.openxmlformats.org/drawingml/2006/picture">
                      <pic:pic>
                        <pic:nvPicPr>
                          <pic:cNvPr descr="Description: Description: New logo.jpg"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554" cy="3509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Jun 2018 – Currently working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Manager - Leasing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Developing Pipeline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Sourced 3.5 lacs sft of space. In final discussions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a6a6a6" w:val="clear"/>
        <w:jc w:val="center"/>
        <w:rPr>
          <w:rFonts w:ascii="Book Antiqua" w:cs="Book Antiqua" w:eastAsia="Book Antiqua" w:hAnsi="Book Antiqua"/>
          <w:b w:val="1"/>
          <w:color w:val="ffffff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ffffff"/>
          <w:sz w:val="28"/>
          <w:szCs w:val="28"/>
          <w:rtl w:val="0"/>
        </w:rPr>
        <w:t xml:space="preserve">Industry – Hospitality – 3 years</w:t>
      </w:r>
    </w:p>
    <w:p w:rsidR="00000000" w:rsidDel="00000000" w:rsidP="00000000" w:rsidRDefault="00000000" w:rsidRPr="00000000" w14:paraId="0000004D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0"/>
        <w:gridCol w:w="1629"/>
        <w:gridCol w:w="1445"/>
        <w:gridCol w:w="1275"/>
        <w:gridCol w:w="2962"/>
        <w:gridCol w:w="3035"/>
        <w:tblGridChange w:id="0">
          <w:tblGrid>
            <w:gridCol w:w="770"/>
            <w:gridCol w:w="1629"/>
            <w:gridCol w:w="1445"/>
            <w:gridCol w:w="1275"/>
            <w:gridCol w:w="2962"/>
            <w:gridCol w:w="3035"/>
          </w:tblGrid>
        </w:tblGridChange>
      </w:tblGrid>
      <w:tr>
        <w:trPr>
          <w:trHeight w:val="263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S.No</w:t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Company</w:t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Tenure</w:t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Position</w:t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Responsibilities</w:t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Achievements</w:t>
            </w:r>
          </w:p>
        </w:tc>
      </w:tr>
      <w:tr>
        <w:trPr>
          <w:trHeight w:val="1905" w:hRule="atLeast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</w:rPr>
              <w:drawing>
                <wp:inline distB="0" distT="0" distL="0" distR="0">
                  <wp:extent cx="884195" cy="417391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95" cy="4173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 tenures -</w:t>
            </w:r>
          </w:p>
          <w:p w:rsidR="00000000" w:rsidDel="00000000" w:rsidP="00000000" w:rsidRDefault="00000000" w:rsidRPr="00000000" w14:paraId="00000060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June 2005 - Oct 2006</w:t>
            </w:r>
          </w:p>
          <w:p w:rsidR="00000000" w:rsidDel="00000000" w:rsidP="00000000" w:rsidRDefault="00000000" w:rsidRPr="00000000" w14:paraId="00000061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Dec 2008 – Oct 2010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Sales Executive</w:t>
            </w:r>
          </w:p>
          <w:p w:rsidR="00000000" w:rsidDel="00000000" w:rsidP="00000000" w:rsidRDefault="00000000" w:rsidRPr="00000000" w14:paraId="00000065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Deputy Sales Manager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Corporate Sales</w:t>
            </w:r>
          </w:p>
          <w:p w:rsidR="00000000" w:rsidDel="00000000" w:rsidP="00000000" w:rsidRDefault="00000000" w:rsidRPr="00000000" w14:paraId="00000069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- To generate revenue – rooms, banquets, restaurants, Health Club and Business Centre</w:t>
            </w:r>
          </w:p>
          <w:p w:rsidR="00000000" w:rsidDel="00000000" w:rsidP="00000000" w:rsidRDefault="00000000" w:rsidRPr="00000000" w14:paraId="0000006A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- Develop channels</w:t>
            </w:r>
          </w:p>
          <w:p w:rsidR="00000000" w:rsidDel="00000000" w:rsidP="00000000" w:rsidRDefault="00000000" w:rsidRPr="00000000" w14:paraId="0000006B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- Handled 350 accounts</w:t>
            </w:r>
          </w:p>
          <w:p w:rsidR="00000000" w:rsidDel="00000000" w:rsidP="00000000" w:rsidRDefault="00000000" w:rsidRPr="00000000" w14:paraId="0000006F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- Specialised in PSUs business</w:t>
            </w:r>
          </w:p>
          <w:p w:rsidR="00000000" w:rsidDel="00000000" w:rsidP="00000000" w:rsidRDefault="00000000" w:rsidRPr="00000000" w14:paraId="00000070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- Feasibility study for GRT Kanchi by assessing potential from Sriperumbudur belt</w:t>
            </w:r>
          </w:p>
          <w:p w:rsidR="00000000" w:rsidDel="00000000" w:rsidP="00000000" w:rsidRDefault="00000000" w:rsidRPr="00000000" w14:paraId="00000071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pBdr>
          <w:bottom w:color="000000" w:space="1" w:sz="12" w:val="single"/>
        </w:pBdr>
        <w:tabs>
          <w:tab w:val="left" w:pos="5400"/>
        </w:tabs>
        <w:rPr>
          <w:rFonts w:ascii="Book Antiqua" w:cs="Book Antiqua" w:eastAsia="Book Antiqua" w:hAnsi="Book Antiqua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pBdr>
          <w:bottom w:color="000000" w:space="1" w:sz="12" w:val="single"/>
        </w:pBdr>
        <w:tabs>
          <w:tab w:val="left" w:pos="5400"/>
        </w:tabs>
        <w:rPr>
          <w:rFonts w:ascii="Book Antiqua" w:cs="Book Antiqua" w:eastAsia="Book Antiqua" w:hAnsi="Book Antiqua"/>
          <w:i w:val="1"/>
          <w:color w:val="4f81bd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i w:val="1"/>
          <w:color w:val="4f81bd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8"/>
        <w:gridCol w:w="1661"/>
        <w:gridCol w:w="2450"/>
        <w:gridCol w:w="1418"/>
        <w:gridCol w:w="2693"/>
        <w:tblGridChange w:id="0">
          <w:tblGrid>
            <w:gridCol w:w="1158"/>
            <w:gridCol w:w="1661"/>
            <w:gridCol w:w="2450"/>
            <w:gridCol w:w="1418"/>
            <w:gridCol w:w="2693"/>
          </w:tblGrid>
        </w:tblGridChange>
      </w:tblGrid>
      <w:tr>
        <w:trPr>
          <w:trHeight w:val="327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Degree</w:t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Year of Passing out</w:t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Institution</w:t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Grade/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Specialisation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3" w:hRule="atLeast"/>
        </w:trPr>
        <w:tc>
          <w:tcPr/>
          <w:p w:rsidR="00000000" w:rsidDel="00000000" w:rsidP="00000000" w:rsidRDefault="00000000" w:rsidRPr="00000000" w14:paraId="00000081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MBA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2003-2005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IIPM - collaboration with IMI, Brussels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(Ranked 2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A">
            <w:pPr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Marketing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" w:hRule="atLeast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BCS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2000-2003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DG Vaishnav under Madras University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64%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Commerce</w:t>
            </w:r>
          </w:p>
        </w:tc>
      </w:tr>
      <w:tr>
        <w:trPr>
          <w:trHeight w:val="717" w:hRule="atLeast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T.I.School (Murugappa Group)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87%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Commerce</w:t>
            </w:r>
          </w:p>
        </w:tc>
      </w:tr>
      <w:tr>
        <w:trPr>
          <w:trHeight w:val="542" w:hRule="atLeast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1998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T.I.School (Murugappa Group)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73%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pBdr>
          <w:bottom w:color="000000" w:space="1" w:sz="12" w:val="single"/>
        </w:pBdr>
        <w:tabs>
          <w:tab w:val="left" w:pos="5400"/>
        </w:tabs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Mr. Vaibhav Mittal – Supervisor in GMR - +919632345492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Mrs. Raghini Peter – Supervisor in Srei - +919840444085</w:t>
      </w:r>
    </w:p>
    <w:p w:rsidR="00000000" w:rsidDel="00000000" w:rsidP="00000000" w:rsidRDefault="00000000" w:rsidRPr="00000000" w14:paraId="000000A9">
      <w:pPr>
        <w:pStyle w:val="Heading1"/>
        <w:pBdr>
          <w:bottom w:color="000000" w:space="1" w:sz="12" w:val="single"/>
        </w:pBdr>
        <w:tabs>
          <w:tab w:val="left" w:pos="5400"/>
        </w:tabs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Academic and Extracurricular Achievements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Was graded A+ for the Summer Project at HDFC, Chennai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Gold Medallist for Economics </w:t>
      </w:r>
    </w:p>
    <w:p w:rsidR="00000000" w:rsidDel="00000000" w:rsidP="00000000" w:rsidRDefault="00000000" w:rsidRPr="00000000" w14:paraId="000000AC">
      <w:pPr>
        <w:pStyle w:val="Heading1"/>
        <w:pBdr>
          <w:bottom w:color="000000" w:space="1" w:sz="12" w:val="single"/>
        </w:pBd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Personal Details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5812"/>
        <w:tblGridChange w:id="0">
          <w:tblGrid>
            <w:gridCol w:w="2093"/>
            <w:gridCol w:w="5812"/>
          </w:tblGrid>
        </w:tblGridChange>
      </w:tblGrid>
      <w:tr>
        <w:tc>
          <w:tcPr>
            <w:shd w:fill="366091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12</w:t>
            </w:r>
            <w:r w:rsidDel="00000000" w:rsidR="00000000" w:rsidRPr="00000000">
              <w:rPr>
                <w:rFonts w:ascii="Book Antiqua" w:cs="Book Antiqua" w:eastAsia="Book Antiqua" w:hAnsi="Book Antiqua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Aug 1982</w:t>
            </w:r>
          </w:p>
        </w:tc>
      </w:tr>
      <w:tr>
        <w:trPr>
          <w:trHeight w:val="324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Marital Status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Married</w:t>
            </w:r>
          </w:p>
        </w:tc>
      </w:tr>
      <w:tr>
        <w:trPr>
          <w:trHeight w:val="457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Interests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Test Cricket, Badminton, TT, Music, Sitcom</w:t>
            </w:r>
          </w:p>
        </w:tc>
      </w:tr>
      <w:tr>
        <w:trPr>
          <w:trHeight w:val="1335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rFonts w:ascii="Book Antiqua" w:cs="Book Antiqua" w:eastAsia="Book Antiqua" w:hAnsi="Book Antiqua"/>
                <w:b w:val="1"/>
                <w:color w:val="ffffff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rtl w:val="0"/>
              </w:rPr>
              <w:t xml:space="preserve">Languages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English (S/W/R)</w:t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Tamil (S/W/R)</w:t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Japanese (Hiragana &amp; Katakana) : (W/R)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* 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S – Speak, W – Write, R - Read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tabs>
        <w:tab w:val="left" w:pos="5400"/>
      </w:tabs>
      <w:jc w:val="right"/>
      <w:rPr>
        <w:rFonts w:ascii="Calibri" w:cs="Calibri" w:eastAsia="Calibri" w:hAnsi="Calibri"/>
        <w:i w:val="1"/>
        <w:color w:val="b41808"/>
        <w:sz w:val="18"/>
        <w:szCs w:val="18"/>
      </w:rPr>
    </w:pPr>
    <w:r w:rsidDel="00000000" w:rsidR="00000000" w:rsidRPr="00000000">
      <w:rPr>
        <w:rFonts w:ascii="Calibri" w:cs="Calibri" w:eastAsia="Calibri" w:hAnsi="Calibri"/>
        <w:i w:val="1"/>
        <w:color w:val="b41808"/>
        <w:sz w:val="22"/>
        <w:szCs w:val="22"/>
        <w:rtl w:val="0"/>
      </w:rPr>
      <w:t xml:space="preserve">9940098978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-431799</wp:posOffset>
              </wp:positionV>
              <wp:extent cx="7558641" cy="79633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71442" y="3386596"/>
                        <a:ext cx="7549116" cy="786809"/>
                      </a:xfrm>
                      <a:prstGeom prst="rect">
                        <a:avLst/>
                      </a:prstGeom>
                      <a:solidFill>
                        <a:srgbClr val="7F7F7F">
                          <a:alpha val="4196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-431799</wp:posOffset>
              </wp:positionV>
              <wp:extent cx="7558641" cy="796334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8641" cy="7963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12" w:val="single"/>
      </w:pBdr>
    </w:pPr>
    <w:rPr>
      <w:rFonts w:ascii="Bookman Old Style" w:cs="Bookman Old Style" w:eastAsia="Bookman Old Style" w:hAnsi="Bookman Old Style"/>
      <w:b w:val="1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000000" w:space="1" w:sz="12" w:val="single"/>
      </w:pBdr>
      <w:tabs>
        <w:tab w:val="left" w:pos="5400"/>
      </w:tabs>
      <w:jc w:val="center"/>
    </w:pPr>
    <w:rPr>
      <w:rFonts w:ascii="Garamond" w:cs="Garamond" w:eastAsia="Garamond" w:hAnsi="Garamond"/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