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TAO Acquire — Frontend Architecture Decision Records</w:t>
      </w:r>
    </w:p>
    <w:p>
      <w:pPr>
        <w:jc w:val="center"/>
      </w:pPr>
      <w:r>
        <w:rPr>
          <w:i/>
          <w:sz w:val="22"/>
        </w:rPr>
        <w:t>Key UI Architecture Decisions • Version 1.0 • September 2026</w:t>
      </w:r>
    </w:p>
    <w:p/>
    <w:p>
      <w:pPr>
        <w:pStyle w:val="Heading1"/>
      </w:pPr>
      <w:r>
        <w:t>ADR-FE-001 — Angular 22.x Current Stable</w:t>
      </w:r>
    </w:p>
    <w:p>
      <w:r>
        <w:t>Decision: Use Angular 22.x and pin the latest stable patch available at implementation time.</w:t>
      </w:r>
    </w:p>
    <w:p>
      <w:r>
        <w:t>Rationale: Angular's official release documentation identifies v22 as the actively supported current major line at design time. This gives the project the latest stable platform while avoiding pre-release APIs.</w:t>
      </w:r>
    </w:p>
    <w:p>
      <w:pPr>
        <w:pStyle w:val="Heading1"/>
      </w:pPr>
      <w:r>
        <w:t>ADR-FE-002 — Standalone + Signal-First Angular</w:t>
      </w:r>
    </w:p>
    <w:p>
      <w:r>
        <w:t>Decision: Use standalone components and signal-based local/feature state as the default.</w:t>
      </w:r>
    </w:p>
    <w:p>
      <w:r>
        <w:t>Rationale: Reduces module ceremony, improves dependency locality, and makes reactive UI state explicit. Avoid a framework-wide global store unless requirements justify it.</w:t>
      </w:r>
    </w:p>
    <w:p>
      <w:pPr>
        <w:pStyle w:val="Heading1"/>
      </w:pPr>
      <w:r>
        <w:t>ADR-FE-003 — Material/CDK + TAO Design System</w:t>
      </w:r>
    </w:p>
    <w:p>
      <w:r>
        <w:t>Decision: Use Angular Material/CDK for accessibility, overlays and complex interaction primitives, wrapped in TAO-specific components/tokens.</w:t>
      </w:r>
    </w:p>
    <w:p>
      <w:r>
        <w:t>Rationale: Avoids rebuilding accessible primitives while preventing the product from looking like unmodified Material.</w:t>
      </w:r>
    </w:p>
    <w:p>
      <w:pPr>
        <w:pStyle w:val="Heading1"/>
      </w:pPr>
      <w:r>
        <w:t>ADR-FE-004 — Feature-Sliced Frontend</w:t>
      </w:r>
    </w:p>
    <w:p>
      <w:r>
        <w:t>Decision: Organize code by business workflow rather than by backend entity or technical layer alone.</w:t>
      </w:r>
    </w:p>
    <w:p>
      <w:r>
        <w:t>Rationale: Matches recruiter journeys and allows independent lazy loading, ownership and testing of major capabilities.</w:t>
      </w:r>
    </w:p>
    <w:p>
      <w:pPr>
        <w:pStyle w:val="Heading1"/>
      </w:pPr>
      <w:r>
        <w:t>ADR-FE-005 — Auth Port with Mock Adapter</w:t>
      </w:r>
    </w:p>
    <w:p>
      <w:r>
        <w:t>Decision: Introduce an AuthPort interface and start with a mock adapter; replace it with OIDC/JWT later.</w:t>
      </w:r>
    </w:p>
    <w:p>
      <w:r>
        <w:t>Rationale: Makes authentication migration a composition/configuration change rather than a feature rewrite.</w:t>
      </w:r>
    </w:p>
    <w:p>
      <w:pPr>
        <w:pStyle w:val="Heading1"/>
      </w:pPr>
      <w:r>
        <w:t>ADR-FE-006 — No Heavy Global State for MVP</w:t>
      </w:r>
    </w:p>
    <w:p>
      <w:r>
        <w:t>Decision: Use component/feature signals and explicit API services instead of introducing a large global state framework.</w:t>
      </w:r>
    </w:p>
    <w:p>
      <w:r>
        <w:t>Rationale: The supplied backend architecture intentionally favors simple MVP abstractions. Frontend state should follow the same principle.</w:t>
      </w:r>
    </w:p>
    <w:p>
      <w:pPr>
        <w:pStyle w:val="Heading1"/>
      </w:pPr>
      <w:r>
        <w:t>ADR-FE-007 — AI Artifact Provenance</w:t>
      </w:r>
    </w:p>
    <w:p>
      <w:r>
        <w:t>Decision: AI-generated, edited and approved states are first-class UI states.</w:t>
      </w:r>
    </w:p>
    <w:p>
      <w:r>
        <w:t>Rationale: AI artifacts are workflow inputs/outputs and approval contracts, not generic CRUD records.</w:t>
      </w:r>
    </w:p>
    <w:p>
      <w:pPr>
        <w:pStyle w:val="Heading1"/>
      </w:pPr>
      <w:r>
        <w:t>ADR-FE-008 — Server-Authoritative Business Rules</w:t>
      </w:r>
    </w:p>
    <w:p>
      <w:r>
        <w:t>Decision: Frontend may guide and validate UX but must not become the source of qualification, approval or scoring decisions.</w:t>
      </w:r>
    </w:p>
    <w:p>
      <w:r>
        <w:t>Rationale: Prevents business rule duplication and keeps backend/domain authority intact.</w:t>
      </w:r>
    </w:p>
    <w:p>
      <w:pPr>
        <w:pStyle w:val="Heading1"/>
      </w:pPr>
      <w:r>
        <w:t>ADR-FE-009 — Acquire/Assess Boundary</w:t>
      </w:r>
    </w:p>
    <w:p>
      <w:r>
        <w:t>Decision: Expose Assessment as a distinct top-level section while linking it from Acquire.</w:t>
      </w:r>
    </w:p>
    <w:p>
      <w:r>
        <w:t>Rationale: The supplied Assessment Strategy design explicitly assigns planning to Acquire and execution to Assess.</w:t>
      </w:r>
    </w:p>
    <w:p>
      <w:pPr>
        <w:pStyle w:val="Heading1"/>
      </w:pPr>
      <w:r>
        <w:t>ADR-FE-010 — Progressive Scalability</w:t>
      </w:r>
    </w:p>
    <w:p>
      <w:r>
        <w:t>Decision: Start simple, but establish boundaries for virtualized lists, background processing, caching, telemetry and auth migration.</w:t>
      </w:r>
    </w:p>
    <w:p>
      <w:r>
        <w:t>Rationale: Supports growth without prematurely introducing complex abstractions.</w:t>
      </w:r>
    </w:p>
    <w:p>
      <w:pPr>
        <w:pStyle w:val="Heading1"/>
      </w:pPr>
      <w:r>
        <w:t>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Chosen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Avoid initially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UI primitives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Angular Material/CDK + custom tokens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Building all primitives from scratch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Signals + feature facades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Global store by default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Typed Reactive Forms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Untyped form models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AuthPort + MockAuthAdapter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 logic inside every feature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Lazy feature routes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Monolithic route tree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Typed feature API services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HTTP calls directly from templates/components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Semantic design tokens + limited utility layout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Hard-coded colors across features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Large lists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Server pagination + CDK virtual scroll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Loading all records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AI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Structured state + explicit provenance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Treating AI text as ordinary text</w:t>
            </w:r>
          </w:p>
        </w:tc>
      </w:tr>
    </w:tbl>
    <w:p/>
    <w:p>
      <w:pPr>
        <w:pStyle w:val="Heading1"/>
      </w:pPr>
      <w:r>
        <w:t>Migration Path</w:t>
      </w:r>
    </w:p>
    <w:p>
      <w:pPr>
        <w:pStyle w:val="ListNumber"/>
      </w:pPr>
      <w:r>
        <w:t>Mock auth → OIDC/OAuth login and JWT access tokens.</w:t>
      </w:r>
    </w:p>
    <w:p>
      <w:pPr>
        <w:pStyle w:val="ListNumber"/>
      </w:pPr>
      <w:r>
        <w:t>Simple API services → generated typed clients if API surface grows materially.</w:t>
      </w:r>
    </w:p>
    <w:p>
      <w:pPr>
        <w:pStyle w:val="ListNumber"/>
      </w:pPr>
      <w:r>
        <w:t>Feature signals → dedicated feature store only where cross-route coordination becomes complex.</w:t>
      </w:r>
    </w:p>
    <w:p>
      <w:pPr>
        <w:pStyle w:val="ListNumber"/>
      </w:pPr>
      <w:r>
        <w:t>Client-only progress → backend progress/event channel if background resume processing is introduced.</w:t>
      </w:r>
    </w:p>
    <w:p>
      <w:pPr>
        <w:pStyle w:val="ListNumber"/>
      </w:pPr>
      <w:r>
        <w:t>Basic caching → explicit server-state caching when candidate/search workloads justify it.</w:t>
      </w:r>
    </w:p>
    <w:p>
      <w:pPr>
        <w:pStyle w:val="ListNumber"/>
      </w:pPr>
      <w:r>
        <w:t>Acquire-only navigation → richer Assess execution integration as TAO Assess matures.</w:t>
      </w:r>
    </w:p>
    <w:p>
      <w:pPr>
        <w:pStyle w:val="Heading1"/>
      </w:pPr>
      <w:r>
        <w:t>References</w:t>
      </w:r>
    </w:p>
    <w:p>
      <w:r>
        <w:t>Source architecture documents supplied with this design task:</w:t>
      </w:r>
    </w:p>
    <w:p>
      <w:pPr>
        <w:pStyle w:val="ListBullet"/>
      </w:pPr>
      <w:r>
        <w:t>ADR-003 — Resume Processing &amp; Application Creation Workflow (MVP).</w:t>
      </w:r>
    </w:p>
    <w:p>
      <w:pPr>
        <w:pStyle w:val="ListBullet"/>
      </w:pPr>
      <w:r>
        <w:t>ADR-004 — Hiring Strategy Design.</w:t>
      </w:r>
    </w:p>
    <w:p>
      <w:pPr>
        <w:pStyle w:val="ListBullet"/>
      </w:pPr>
      <w:r>
        <w:t>Assessment Strategy Domain Design.</w:t>
      </w:r>
    </w:p>
    <w:p>
      <w:pPr>
        <w:pStyle w:val="ListBullet"/>
      </w:pPr>
      <w:r>
        <w:t>Resume Import &amp; Processing SDD (MVP).</w:t>
      </w:r>
    </w:p>
    <w:p>
      <w:pPr>
        <w:pStyle w:val="ListBullet"/>
      </w:pPr>
      <w:r>
        <w:t>Resume Import Architecture &amp; Design Decision (MVP).</w:t>
      </w:r>
    </w:p>
    <w:p>
      <w:pPr>
        <w:pStyle w:val="ListBullet"/>
      </w:pPr>
      <w:r>
        <w:t>ADR-001 — AI Architecture Evolution (Post-MVP Vision).</w:t>
      </w:r>
    </w:p>
    <w:p>
      <w:pPr>
        <w:pStyle w:val="ListBullet"/>
      </w:pPr>
      <w:r>
        <w:t>ADR-002 — Tenant Context Abstraction (Post-MVP).</w:t>
      </w:r>
    </w:p>
    <w:p>
      <w:r>
        <w:t>External platform reference: official Angular versioning/release documentation, consulted September 2026.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