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Architecture Decision Record</w:t>
      </w:r>
    </w:p>
    <w:p>
      <w:pPr>
        <w:jc w:val="center"/>
      </w:pPr>
      <w:r>
        <w:rPr>
          <w:b/>
          <w:sz w:val="32"/>
        </w:rPr>
        <w:t>ADR-002 – Tenant Context Abstraction (Post-MVP)</w:t>
        <w:br/>
      </w:r>
      <w:r>
        <w:t>Version 1.0</w:t>
      </w:r>
    </w:p>
    <w:p>
      <w:pPr>
        <w:pStyle w:val="Heading1"/>
      </w:pPr>
      <w:r>
        <w:t>Purpose</w:t>
      </w:r>
    </w:p>
    <w:p>
      <w:r>
        <w:t>This Architecture Decision Record captures the decision to defer the Tenant Context abstraction until after the MVP. The goal is to keep the MVP implementation simple while documenting the preferred long-term approach.</w:t>
      </w:r>
    </w:p>
    <w:p>
      <w:pPr>
        <w:pStyle w:val="Heading1"/>
      </w:pPr>
      <w:r>
        <w:t>Decision</w:t>
      </w:r>
    </w:p>
    <w:p>
      <w:r>
        <w:t>The MVP will use TenantId obtained during authentication and passed through the application where required. A dedicated ITenantContext abstraction will NOT be introduced during the MVP.</w:t>
      </w:r>
    </w:p>
    <w:p>
      <w:pPr>
        <w:pStyle w:val="Heading1"/>
      </w:pPr>
      <w:r>
        <w:t>Reasoning</w:t>
      </w:r>
    </w:p>
    <w:p>
      <w:pPr>
        <w:pStyle w:val="ListBullet"/>
      </w:pPr>
      <w:r>
        <w:t>Reduces initial implementation complexity.</w:t>
      </w:r>
    </w:p>
    <w:p>
      <w:pPr>
        <w:pStyle w:val="ListBullet"/>
      </w:pPr>
      <w:r>
        <w:t>Avoids creating abstractions before multiple use cases exist.</w:t>
      </w:r>
    </w:p>
    <w:p>
      <w:pPr>
        <w:pStyle w:val="ListBullet"/>
      </w:pPr>
      <w:r>
        <w:t>Speeds up MVP delivery for a single-developer team.</w:t>
      </w:r>
    </w:p>
    <w:p>
      <w:pPr>
        <w:pStyle w:val="ListBullet"/>
      </w:pPr>
      <w:r>
        <w:t>Current TenantId approach is sufficient for logical tenant isolation.</w:t>
      </w:r>
    </w:p>
    <w:p>
      <w:pPr>
        <w:pStyle w:val="Heading1"/>
      </w:pPr>
      <w:r>
        <w:t>Post-MVP Architecture</w:t>
      </w:r>
    </w:p>
    <w:p>
      <w:r>
        <w:t>public interface ITenantContext</w:t>
        <w:br/>
        <w:t>{</w:t>
        <w:br/>
        <w:t xml:space="preserve">    Guid TenantId { get; }</w:t>
        <w:br/>
        <w:t xml:space="preserve">    Guid OrganizationId { get; }</w:t>
        <w:br/>
        <w:t xml:space="preserve">    string TenantName { get; }</w:t>
        <w:br/>
        <w:t xml:space="preserve">    string LicenseType { get; }</w:t>
        <w:br/>
        <w:t xml:space="preserve">    bool HasFeature(string featureCode);</w:t>
        <w:br/>
        <w:t>}</w:t>
      </w:r>
    </w:p>
    <w:p>
      <w:pPr>
        <w:pStyle w:val="Heading1"/>
      </w:pPr>
      <w:r>
        <w:t>Expected Responsibilities</w:t>
      </w:r>
    </w:p>
    <w:p>
      <w:pPr>
        <w:pStyle w:val="ListBullet"/>
      </w:pPr>
      <w:r>
        <w:t>Expose current tenant information.</w:t>
      </w:r>
    </w:p>
    <w:p>
      <w:pPr>
        <w:pStyle w:val="ListBullet"/>
      </w:pPr>
      <w:r>
        <w:t>Provide organization metadata.</w:t>
      </w:r>
    </w:p>
    <w:p>
      <w:pPr>
        <w:pStyle w:val="ListBullet"/>
      </w:pPr>
      <w:r>
        <w:t>Support feature flag evaluation.</w:t>
      </w:r>
    </w:p>
    <w:p>
      <w:pPr>
        <w:pStyle w:val="ListBullet"/>
      </w:pPr>
      <w:r>
        <w:t>Support licensing checks.</w:t>
      </w:r>
    </w:p>
    <w:p>
      <w:pPr>
        <w:pStyle w:val="ListBullet"/>
      </w:pPr>
      <w:r>
        <w:t>Enable tenant-specific AI provider selection.</w:t>
      </w:r>
    </w:p>
    <w:p>
      <w:pPr>
        <w:pStyle w:val="ListBullet"/>
      </w:pPr>
      <w:r>
        <w:t>Provide a single abstraction for tenant-aware services.</w:t>
      </w:r>
    </w:p>
    <w:p>
      <w:pPr>
        <w:pStyle w:val="Heading1"/>
      </w:pPr>
      <w:r>
        <w:t>Migration Strategy</w:t>
      </w:r>
    </w:p>
    <w:p>
      <w:pPr>
        <w:pStyle w:val="ListBullet"/>
      </w:pPr>
      <w:r>
        <w:t>Introduce ITenantContext without changing business rules.</w:t>
      </w:r>
    </w:p>
    <w:p>
      <w:pPr>
        <w:pStyle w:val="ListBullet"/>
      </w:pPr>
      <w:r>
        <w:t>Replace direct TenantId access incrementally.</w:t>
      </w:r>
    </w:p>
    <w:p>
      <w:pPr>
        <w:pStyle w:val="ListBullet"/>
      </w:pPr>
      <w:r>
        <w:t>Inject ITenantContext into handlers, repositories and orchestrators.</w:t>
      </w:r>
    </w:p>
    <w:p>
      <w:pPr>
        <w:pStyle w:val="ListBullet"/>
      </w:pPr>
      <w:r>
        <w:t>Keep the migration transparent to TAO Acquire and TAO Assess.</w:t>
      </w:r>
    </w:p>
    <w:p>
      <w:pPr>
        <w:pStyle w:val="Heading1"/>
      </w:pPr>
      <w:r>
        <w:t>Status</w:t>
      </w:r>
    </w:p>
    <w:p>
      <w:r>
        <w:t>Status: Deferred to Post-MVP.</w:t>
        <w:br/>
        <w:t>Reason: Simplicity and faster delivery take priority during the MVP.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