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Acquire</w:t>
      </w:r>
    </w:p>
    <w:p>
      <w:pPr>
        <w:jc w:val="center"/>
      </w:pPr>
      <w:r>
        <w:rPr>
          <w:b/>
        </w:rPr>
        <w:t>Functional Requirements Specification</w:t>
        <w:br/>
      </w:r>
      <w:r>
        <w:t>AQ-FR-005 – Assessment Invitation &amp; Candidate Onboarding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Invite shortlisted candidates into the TAO Assessment Portal and prepare them for the assessment. This is the final responsibility of TAO Acquire before control is transferred to TAO Assess.</w:t>
      </w:r>
    </w:p>
    <w:p>
      <w:pPr>
        <w:pStyle w:val="Heading1"/>
      </w:pPr>
      <w:r>
        <w:t>2. Business Goal</w:t>
      </w:r>
    </w:p>
    <w:p>
      <w:r>
        <w:t>Provide a secure and simple onboarding experience with minimal recruiter effort while ensuring candidates are ready to begin the assessment.</w:t>
      </w:r>
    </w:p>
    <w:p>
      <w:pPr>
        <w:pStyle w:val="Heading1"/>
      </w:pPr>
      <w:r>
        <w:t>3. Product Principles</w:t>
      </w:r>
    </w:p>
    <w:p>
      <w:pPr>
        <w:pStyle w:val="ListBullet"/>
      </w:pPr>
      <w:r>
        <w:t>AI orchestrates the workflow; recruiters supervise.</w:t>
      </w:r>
    </w:p>
    <w:p>
      <w:pPr>
        <w:pStyle w:val="ListBullet"/>
      </w:pPr>
      <w:r>
        <w:t>Candidates always enter the TAO Assessment Portal.</w:t>
      </w:r>
    </w:p>
    <w:p>
      <w:pPr>
        <w:pStyle w:val="ListBullet"/>
      </w:pPr>
      <w:r>
        <w:t>Assessment questions are generated only after the assessment begins.</w:t>
      </w:r>
    </w:p>
    <w:p>
      <w:pPr>
        <w:pStyle w:val="ListBullet"/>
      </w:pPr>
      <w:r>
        <w:t>The approved Assessment Strategy is handed to TAO Assess.</w:t>
      </w:r>
    </w:p>
    <w:p>
      <w:pPr>
        <w:pStyle w:val="Heading1"/>
      </w:pPr>
      <w:r>
        <w:t>4. Scope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Post-MVP</w:t>
            </w:r>
          </w:p>
        </w:tc>
        <w:tc>
          <w:tcPr>
            <w:tcW w:type="dxa" w:w="2880"/>
          </w:tcPr>
          <w:p>
            <w:r>
              <w:t>Future Vision</w:t>
            </w:r>
          </w:p>
        </w:tc>
      </w:tr>
      <w:tr>
        <w:tc>
          <w:tcPr>
            <w:tcW w:type="dxa" w:w="2880"/>
          </w:tcPr>
          <w:p>
            <w:r>
              <w:t>Email invitation</w:t>
              <w:br/>
              <w:t>Secure link</w:t>
              <w:br/>
              <w:t>Candidate login</w:t>
              <w:br/>
              <w:t>Instructions</w:t>
              <w:br/>
              <w:t>Browser compatibility check</w:t>
              <w:br/>
              <w:t>Start Assessment</w:t>
              <w:br/>
              <w:t>Handoff to TAO Assess</w:t>
            </w:r>
          </w:p>
        </w:tc>
        <w:tc>
          <w:tcPr>
            <w:tcW w:type="dxa" w:w="2880"/>
          </w:tcPr>
          <w:p>
            <w:r>
              <w:t>Calendar integration</w:t>
              <w:br/>
              <w:t>Invitation reminders</w:t>
              <w:br/>
              <w:t>Reschedule</w:t>
              <w:br/>
              <w:t>SMS/WhatsApp notifications</w:t>
            </w:r>
          </w:p>
        </w:tc>
        <w:tc>
          <w:tcPr>
            <w:tcW w:type="dxa" w:w="2880"/>
          </w:tcPr>
          <w:p>
            <w:r>
              <w:t>Identity verification</w:t>
              <w:br/>
              <w:t>Camera/microphone checks</w:t>
              <w:br/>
              <w:t>Proctoring</w:t>
              <w:br/>
              <w:t>Mobile companion</w:t>
            </w:r>
          </w:p>
        </w:tc>
      </w:tr>
    </w:tbl>
    <w:p>
      <w:pPr>
        <w:pStyle w:val="Heading1"/>
      </w:pPr>
      <w:r>
        <w:t>5. Actors</w:t>
      </w:r>
    </w:p>
    <w:p>
      <w:pPr>
        <w:pStyle w:val="ListBullet"/>
      </w:pPr>
      <w:r>
        <w:t>Hiring Coordinator</w:t>
      </w:r>
    </w:p>
    <w:p>
      <w:pPr>
        <w:pStyle w:val="ListBullet"/>
      </w:pPr>
      <w:r>
        <w:t>Candidate</w:t>
      </w:r>
    </w:p>
    <w:p>
      <w:pPr>
        <w:pStyle w:val="ListBullet"/>
      </w:pPr>
      <w:r>
        <w:t>AI Coordinator</w:t>
      </w:r>
    </w:p>
    <w:p>
      <w:pPr>
        <w:pStyle w:val="ListBullet"/>
      </w:pPr>
      <w:r>
        <w:t>Notification Service</w:t>
      </w:r>
    </w:p>
    <w:p>
      <w:pPr>
        <w:pStyle w:val="Heading1"/>
      </w:pPr>
      <w:r>
        <w:t>6. Main Workflow</w:t>
      </w:r>
    </w:p>
    <w:p>
      <w:pPr>
        <w:pStyle w:val="ListNumber"/>
      </w:pPr>
      <w:r>
        <w:t>Recruiter approves the Assessment Strategy.</w:t>
      </w:r>
    </w:p>
    <w:p>
      <w:pPr>
        <w:pStyle w:val="ListNumber"/>
      </w:pPr>
      <w:r>
        <w:t>TAO sends secure assessment invitations.</w:t>
      </w:r>
    </w:p>
    <w:p>
      <w:pPr>
        <w:pStyle w:val="ListNumber"/>
      </w:pPr>
      <w:r>
        <w:t>Candidate opens the invitation link.</w:t>
      </w:r>
    </w:p>
    <w:p>
      <w:pPr>
        <w:pStyle w:val="ListNumber"/>
      </w:pPr>
      <w:r>
        <w:t>Candidate authenticates.</w:t>
      </w:r>
    </w:p>
    <w:p>
      <w:pPr>
        <w:pStyle w:val="ListNumber"/>
      </w:pPr>
      <w:r>
        <w:t>Candidate reviews assessment instructions.</w:t>
      </w:r>
    </w:p>
    <w:p>
      <w:pPr>
        <w:pStyle w:val="ListNumber"/>
      </w:pPr>
      <w:r>
        <w:t>TAO performs a basic browser compatibility check.</w:t>
      </w:r>
    </w:p>
    <w:p>
      <w:pPr>
        <w:pStyle w:val="ListNumber"/>
      </w:pPr>
      <w:r>
        <w:t>Candidate clicks Start Assessment.</w:t>
      </w:r>
    </w:p>
    <w:p>
      <w:pPr>
        <w:pStyle w:val="ListNumber"/>
      </w:pPr>
      <w:r>
        <w:t>Control is transferred to TAO Assess.</w:t>
      </w:r>
    </w:p>
    <w:p>
      <w:pPr>
        <w:pStyle w:val="Heading1"/>
      </w:pPr>
      <w:r>
        <w:t>7. Candidate Portal (MVP)</w:t>
      </w:r>
    </w:p>
    <w:p>
      <w:pPr>
        <w:pStyle w:val="ListBullet"/>
      </w:pPr>
      <w:r>
        <w:t>Assessment summary</w:t>
      </w:r>
    </w:p>
    <w:p>
      <w:pPr>
        <w:pStyle w:val="ListBullet"/>
      </w:pPr>
      <w:r>
        <w:t>Organization and role</w:t>
      </w:r>
    </w:p>
    <w:p>
      <w:pPr>
        <w:pStyle w:val="ListBullet"/>
      </w:pPr>
      <w:r>
        <w:t>Expected duration</w:t>
      </w:r>
    </w:p>
    <w:p>
      <w:pPr>
        <w:pStyle w:val="ListBullet"/>
      </w:pPr>
      <w:r>
        <w:t>Instructions</w:t>
      </w:r>
    </w:p>
    <w:p>
      <w:pPr>
        <w:pStyle w:val="ListBullet"/>
      </w:pPr>
      <w:r>
        <w:t>Browser compatibility status</w:t>
      </w:r>
    </w:p>
    <w:p>
      <w:pPr>
        <w:pStyle w:val="ListBullet"/>
      </w:pPr>
      <w:r>
        <w:t>Start Assessment button</w:t>
      </w:r>
    </w:p>
    <w:p>
      <w:pPr>
        <w:pStyle w:val="Heading1"/>
      </w:pPr>
      <w:r>
        <w:t>8. Business Rules</w:t>
      </w:r>
    </w:p>
    <w:p>
      <w:pPr>
        <w:pStyle w:val="ListBullet"/>
      </w:pPr>
      <w:r>
        <w:t>Only shortlisted candidates receive invitations.</w:t>
      </w:r>
    </w:p>
    <w:p>
      <w:pPr>
        <w:pStyle w:val="ListBullet"/>
      </w:pPr>
      <w:r>
        <w:t>Each invitation belongs to one candidate and one Hiring Campaign.</w:t>
      </w:r>
    </w:p>
    <w:p>
      <w:pPr>
        <w:pStyle w:val="ListBullet"/>
      </w:pPr>
      <w:r>
        <w:t>Candidates access assessments only through secure invitation links.</w:t>
      </w:r>
    </w:p>
    <w:p>
      <w:pPr>
        <w:pStyle w:val="ListBullet"/>
      </w:pPr>
      <w:r>
        <w:t>Question generation begins only inside TAO Assess.</w:t>
      </w:r>
    </w:p>
    <w:p>
      <w:pPr>
        <w:pStyle w:val="ListBullet"/>
      </w:pPr>
      <w:r>
        <w:t>TAO Acquire completes when the assessment session is handed off.</w:t>
      </w:r>
    </w:p>
    <w:p>
      <w:pPr>
        <w:pStyle w:val="Heading1"/>
      </w:pPr>
      <w:r>
        <w:t>9. Acceptance Criteria (MVP)</w:t>
      </w:r>
    </w:p>
    <w:p>
      <w:pPr>
        <w:pStyle w:val="ListBullet"/>
      </w:pPr>
      <w:r>
        <w:t>Invitation email is generated.</w:t>
      </w:r>
    </w:p>
    <w:p>
      <w:pPr>
        <w:pStyle w:val="ListBullet"/>
      </w:pPr>
      <w:r>
        <w:t>Candidate accesses the assessment portal successfully.</w:t>
      </w:r>
    </w:p>
    <w:p>
      <w:pPr>
        <w:pStyle w:val="ListBullet"/>
      </w:pPr>
      <w:r>
        <w:t>Instructions are shown before assessment.</w:t>
      </w:r>
    </w:p>
    <w:p>
      <w:pPr>
        <w:pStyle w:val="ListBullet"/>
      </w:pPr>
      <w:r>
        <w:t>Browser compatibility is validated.</w:t>
      </w:r>
    </w:p>
    <w:p>
      <w:pPr>
        <w:pStyle w:val="ListBullet"/>
      </w:pPr>
      <w:r>
        <w:t>Handoff to TAO Assess succeeds.</w:t>
      </w:r>
    </w:p>
    <w:p>
      <w:pPr>
        <w:pStyle w:val="Heading1"/>
      </w:pPr>
      <w:r>
        <w:t>10. Deferred Decisions</w:t>
      </w:r>
    </w:p>
    <w:p>
      <w:pPr>
        <w:pStyle w:val="ListBullet"/>
      </w:pPr>
      <w:r>
        <w:t>Identity verification</w:t>
      </w:r>
    </w:p>
    <w:p>
      <w:pPr>
        <w:pStyle w:val="ListBullet"/>
      </w:pPr>
      <w:r>
        <w:t>Rescheduling</w:t>
      </w:r>
    </w:p>
    <w:p>
      <w:pPr>
        <w:pStyle w:val="ListBullet"/>
      </w:pPr>
      <w:r>
        <w:t>Online proctoring</w:t>
      </w:r>
    </w:p>
    <w:p>
      <w:pPr>
        <w:pStyle w:val="ListBullet"/>
      </w:pPr>
      <w:r>
        <w:t>Calendar synchronization</w:t>
      </w:r>
    </w:p>
    <w:p>
      <w:pPr>
        <w:pStyle w:val="ListBullet"/>
      </w:pPr>
      <w:r>
        <w:t>Advanced onboarding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