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TAO Platform</w:t>
      </w:r>
    </w:p>
    <w:p>
      <w:pPr>
        <w:jc w:val="center"/>
      </w:pPr>
      <w:r>
        <w:rPr>
          <w:b/>
        </w:rPr>
        <w:t>Post-MVP Vision Document</w:t>
        <w:br/>
      </w:r>
      <w:r>
        <w:t>TAO AI Interview Playbook</w:t>
        <w:br/>
      </w:r>
      <w:r>
        <w:t>Version 1.0</w:t>
      </w:r>
    </w:p>
    <w:p>
      <w:pPr>
        <w:pStyle w:val="Heading1"/>
      </w:pPr>
      <w:r>
        <w:t>1. Purpose of this Document</w:t>
      </w:r>
    </w:p>
    <w:p>
      <w:r>
        <w:t>This document captures the long-term vision for the TAO AI Interview Playbook. It is intentionally classified as a Post-MVP deliverable and is not required for building the first production-ready MVP. Its purpose is to preserve the design decisions and discussions made during product discovery so they can be revisited when TAO evolves beyond the MVP.</w:t>
      </w:r>
    </w:p>
    <w:p>
      <w:pPr>
        <w:pStyle w:val="Heading1"/>
      </w:pPr>
      <w:r>
        <w:t>2. Why this Document Exists</w:t>
      </w:r>
    </w:p>
    <w:p>
      <w:r>
        <w:t>During the MVP we will implement only the minimum behaviour required for a credible AI-driven technical interview. As TAO matures, the interviewing behaviour should become standardized and independent of the underlying LLM. This playbook will become the single source of truth for how every TAO interviewer behaves.</w:t>
      </w:r>
    </w:p>
    <w:p>
      <w:pPr>
        <w:pStyle w:val="Heading1"/>
      </w:pPr>
      <w:r>
        <w:t>3. Scope (Post-MVP)</w:t>
      </w:r>
    </w:p>
    <w:p>
      <w:pPr>
        <w:pStyle w:val="ListBullet"/>
      </w:pPr>
      <w:r>
        <w:t>Standardize the TAO Professional Interviewer persona.</w:t>
      </w:r>
    </w:p>
    <w:p>
      <w:pPr>
        <w:pStyle w:val="ListBullet"/>
      </w:pPr>
      <w:r>
        <w:t>Define interview tone, language and communication standards.</w:t>
      </w:r>
    </w:p>
    <w:p>
      <w:pPr>
        <w:pStyle w:val="ListBullet"/>
      </w:pPr>
      <w:r>
        <w:t>Document interview methodology for every assessment round.</w:t>
      </w:r>
    </w:p>
    <w:p>
      <w:pPr>
        <w:pStyle w:val="ListBullet"/>
      </w:pPr>
      <w:r>
        <w:t>Define competency-based exploration techniques.</w:t>
      </w:r>
    </w:p>
    <w:p>
      <w:pPr>
        <w:pStyle w:val="ListBullet"/>
      </w:pPr>
      <w:r>
        <w:t>Provide prompt engineering standards and reusable prompt templates.</w:t>
      </w:r>
    </w:p>
    <w:p>
      <w:pPr>
        <w:pStyle w:val="ListBullet"/>
      </w:pPr>
      <w:r>
        <w:t>Define fairness, integrity and anti-bias guidelines.</w:t>
      </w:r>
    </w:p>
    <w:p>
      <w:pPr>
        <w:pStyle w:val="ListBullet"/>
      </w:pPr>
      <w:r>
        <w:t>Standardize candidate experience from welcome to interview closure.</w:t>
      </w:r>
    </w:p>
    <w:p>
      <w:pPr>
        <w:pStyle w:val="ListBullet"/>
      </w:pPr>
      <w:r>
        <w:t>Create evaluation and scoring guidelines for every competency.</w:t>
      </w:r>
    </w:p>
    <w:p>
      <w:pPr>
        <w:pStyle w:val="ListBullet"/>
      </w:pPr>
      <w:r>
        <w:t>Document conversation examples (good and bad interviewer behaviour).</w:t>
      </w:r>
    </w:p>
    <w:p>
      <w:pPr>
        <w:pStyle w:val="ListBullet"/>
      </w:pPr>
      <w:r>
        <w:t>Define LLM-agnostic behavioural rules so GPT, Claude, Gemini, Ollama or future models behave consistently.</w:t>
      </w:r>
    </w:p>
    <w:p>
      <w:pPr>
        <w:pStyle w:val="Heading1"/>
      </w:pPr>
      <w:r>
        <w:t>4. What this Playbook Will Define</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Description</w:t>
            </w:r>
          </w:p>
        </w:tc>
      </w:tr>
      <w:tr>
        <w:tc>
          <w:tcPr>
            <w:tcW w:type="dxa" w:w="4320"/>
          </w:tcPr>
          <w:p>
            <w:r>
              <w:t>Interviewer Persona</w:t>
            </w:r>
          </w:p>
        </w:tc>
        <w:tc>
          <w:tcPr>
            <w:tcW w:type="dxa" w:w="4320"/>
          </w:tcPr>
          <w:p>
            <w:r>
              <w:t>Professional behaviour, tone, etiquette and communication style.</w:t>
            </w:r>
          </w:p>
        </w:tc>
      </w:tr>
      <w:tr>
        <w:tc>
          <w:tcPr>
            <w:tcW w:type="dxa" w:w="4320"/>
          </w:tcPr>
          <w:p>
            <w:r>
              <w:t>Conversation Standards</w:t>
            </w:r>
          </w:p>
        </w:tc>
        <w:tc>
          <w:tcPr>
            <w:tcW w:type="dxa" w:w="4320"/>
          </w:tcPr>
          <w:p>
            <w:r>
              <w:t>How interviews begin, transition between rounds and end.</w:t>
            </w:r>
          </w:p>
        </w:tc>
      </w:tr>
      <w:tr>
        <w:tc>
          <w:tcPr>
            <w:tcW w:type="dxa" w:w="4320"/>
          </w:tcPr>
          <w:p>
            <w:r>
              <w:t>Exploration Strategy</w:t>
            </w:r>
          </w:p>
        </w:tc>
        <w:tc>
          <w:tcPr>
            <w:tcW w:type="dxa" w:w="4320"/>
          </w:tcPr>
          <w:p>
            <w:r>
              <w:t>When to ask exploration questions, when to stop and how to challenge respectfully.</w:t>
            </w:r>
          </w:p>
        </w:tc>
      </w:tr>
      <w:tr>
        <w:tc>
          <w:tcPr>
            <w:tcW w:type="dxa" w:w="4320"/>
          </w:tcPr>
          <w:p>
            <w:r>
              <w:t>Competency Framework</w:t>
            </w:r>
          </w:p>
        </w:tc>
        <w:tc>
          <w:tcPr>
            <w:tcW w:type="dxa" w:w="4320"/>
          </w:tcPr>
          <w:p>
            <w:r>
              <w:t>Expected competencies for different technologies and seniority levels.</w:t>
            </w:r>
          </w:p>
        </w:tc>
      </w:tr>
      <w:tr>
        <w:tc>
          <w:tcPr>
            <w:tcW w:type="dxa" w:w="4320"/>
          </w:tcPr>
          <w:p>
            <w:r>
              <w:t>Prompt Standards</w:t>
            </w:r>
          </w:p>
        </w:tc>
        <w:tc>
          <w:tcPr>
            <w:tcW w:type="dxa" w:w="4320"/>
          </w:tcPr>
          <w:p>
            <w:r>
              <w:t>Versioned prompt templates and prompt design principles.</w:t>
            </w:r>
          </w:p>
        </w:tc>
      </w:tr>
      <w:tr>
        <w:tc>
          <w:tcPr>
            <w:tcW w:type="dxa" w:w="4320"/>
          </w:tcPr>
          <w:p>
            <w:r>
              <w:t>Evaluation Standards</w:t>
            </w:r>
          </w:p>
        </w:tc>
        <w:tc>
          <w:tcPr>
            <w:tcW w:type="dxa" w:w="4320"/>
          </w:tcPr>
          <w:p>
            <w:r>
              <w:t>Consistent interpretation of candidate responses.</w:t>
            </w:r>
          </w:p>
        </w:tc>
      </w:tr>
      <w:tr>
        <w:tc>
          <w:tcPr>
            <w:tcW w:type="dxa" w:w="4320"/>
          </w:tcPr>
          <w:p>
            <w:r>
              <w:t>Fairness &amp; Ethics</w:t>
            </w:r>
          </w:p>
        </w:tc>
        <w:tc>
          <w:tcPr>
            <w:tcW w:type="dxa" w:w="4320"/>
          </w:tcPr>
          <w:p>
            <w:r>
              <w:t>Blind assessment, anti-bias rules and transparency principles.</w:t>
            </w:r>
          </w:p>
        </w:tc>
      </w:tr>
      <w:tr>
        <w:tc>
          <w:tcPr>
            <w:tcW w:type="dxa" w:w="4320"/>
          </w:tcPr>
          <w:p>
            <w:r>
              <w:t>Quality Assurance</w:t>
            </w:r>
          </w:p>
        </w:tc>
        <w:tc>
          <w:tcPr>
            <w:tcW w:type="dxa" w:w="4320"/>
          </w:tcPr>
          <w:p>
            <w:r>
              <w:t>Review process for interviewer quality across LLM providers.</w:t>
            </w:r>
          </w:p>
        </w:tc>
      </w:tr>
    </w:tbl>
    <w:p>
      <w:pPr>
        <w:pStyle w:val="Heading1"/>
      </w:pPr>
      <w:r>
        <w:t>5. Relationship with the MVP</w:t>
      </w:r>
    </w:p>
    <w:p>
      <w:r>
        <w:t>The MVP implements only the essential interviewer behaviour documented in the TAO Assess functional requirements (AS-FR-001 to AS-FR-004). The AI Interview Playbook extends those foundations into a comprehensive interviewing standard without changing the core product architecture.</w:t>
      </w:r>
    </w:p>
    <w:p>
      <w:pPr>
        <w:pStyle w:val="Heading1"/>
      </w:pPr>
      <w:r>
        <w:t>6. Implementation Trigger</w:t>
      </w:r>
    </w:p>
    <w:p>
      <w:r>
        <w:t>This document should be revisited after the MVP is stable and real customer feedback has been collected. The playbook should be created before adding advanced features such as adaptive interviews, multiple interviewer personas, voice-based interviews or organization-specific interviewing styles.</w:t>
      </w:r>
    </w:p>
    <w:p>
      <w:pPr>
        <w:pStyle w:val="Heading1"/>
      </w:pPr>
      <w:r>
        <w:t>7. Future Vision</w:t>
      </w:r>
    </w:p>
    <w:p>
      <w:r>
        <w:t>The long-term objective is for TAO's interviewing quality to become one of its strongest competitive advantages. Regardless of which LLM powers the platform, every candidate should experience a consistent, fair and professional technical interview that reflects TAO's interviewing philosophy.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