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Acquire</w:t>
      </w:r>
    </w:p>
    <w:p>
      <w:pPr>
        <w:jc w:val="center"/>
      </w:pPr>
      <w:r>
        <w:rPr>
          <w:b/>
        </w:rPr>
        <w:t>AQ-FR-004 Addendum – Assessment Recommendation Policy (v1.1)</w:t>
      </w:r>
    </w:p>
    <w:p>
      <w:pPr>
        <w:pStyle w:val="Heading1"/>
      </w:pPr>
      <w:r>
        <w:t>Purpose</w:t>
      </w:r>
    </w:p>
    <w:p>
      <w:r>
        <w:t>This addendum extends AQ-FR-004 by defining how recruiters configure the technical recommendation thresholds that TAO Assess uses when producing assessment reports.</w:t>
      </w:r>
    </w:p>
    <w:p>
      <w:pPr>
        <w:pStyle w:val="Heading1"/>
      </w:pPr>
      <w:r>
        <w:t>MVP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Editable</w:t>
            </w:r>
          </w:p>
        </w:tc>
      </w:tr>
      <w:tr>
        <w:tc>
          <w:tcPr>
            <w:tcW w:type="dxa" w:w="2880"/>
          </w:tcPr>
          <w:p>
            <w:r>
              <w:t>Strongly Recommended Threshold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Recommended Threshold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Not Recommended Threshold</w:t>
            </w:r>
          </w:p>
        </w:tc>
        <w:tc>
          <w:tcPr>
            <w:tcW w:type="dxa" w:w="2880"/>
          </w:tcPr>
          <w:p>
            <w:r>
              <w:t>Below Recommended</w:t>
            </w:r>
          </w:p>
        </w:tc>
        <w:tc>
          <w:tcPr>
            <w:tcW w:type="dxa" w:w="2880"/>
          </w:tcPr>
          <w:p>
            <w:r>
              <w:t>Derived</w:t>
            </w:r>
          </w:p>
        </w:tc>
      </w:tr>
      <w:tr>
        <w:tc>
          <w:tcPr>
            <w:tcW w:type="dxa" w:w="2880"/>
          </w:tcPr>
          <w:p>
            <w:r>
              <w:t>Competency Coverage Calculation</w:t>
            </w:r>
          </w:p>
        </w:tc>
        <w:tc>
          <w:tcPr>
            <w:tcW w:type="dxa" w:w="2880"/>
          </w:tcPr>
          <w:p>
            <w:r>
              <w:t>AI Managed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Confidence Calculation</w:t>
            </w:r>
          </w:p>
        </w:tc>
        <w:tc>
          <w:tcPr>
            <w:tcW w:type="dxa" w:w="2880"/>
          </w:tcPr>
          <w:p>
            <w:r>
              <w:t>AI Managed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1"/>
      </w:pPr>
      <w:r>
        <w:t>Business Rules</w:t>
      </w:r>
    </w:p>
    <w:p>
      <w:pPr>
        <w:pStyle w:val="ListBullet"/>
      </w:pPr>
      <w:r>
        <w:t>Thresholds are configured once per Hiring Campaign as part of the approved Assessment Strategy.</w:t>
      </w:r>
    </w:p>
    <w:p>
      <w:pPr>
        <w:pStyle w:val="ListBullet"/>
      </w:pPr>
      <w:r>
        <w:t>Organizations may raise or lower recommendation thresholds based on hiring needs.</w:t>
      </w:r>
    </w:p>
    <w:p>
      <w:pPr>
        <w:pStyle w:val="ListBullet"/>
      </w:pPr>
      <w:r>
        <w:t>TAO Assess must use the approved thresholds when generating the final technical recommendation.</w:t>
      </w:r>
    </w:p>
    <w:p>
      <w:pPr>
        <w:pStyle w:val="ListBullet"/>
      </w:pPr>
      <w:r>
        <w:t>Changing thresholds after assessments have started does not affect completed assessments.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