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TAO Software Design Document</w:t>
      </w:r>
    </w:p>
    <w:p>
      <w:pPr>
        <w:jc w:val="center"/>
      </w:pPr>
      <w:r>
        <w:rPr>
          <w:b/>
        </w:rPr>
        <w:t>SDD-002 – Assessment Domain Model</w:t>
        <w:br/>
      </w:r>
      <w:r>
        <w:t>Version 1.0 (MVP Baseline)</w:t>
      </w:r>
    </w:p>
    <w:p>
      <w:pPr>
        <w:pStyle w:val="Heading1"/>
      </w:pPr>
      <w:r>
        <w:t>1. Purpose</w:t>
      </w:r>
    </w:p>
    <w:p>
      <w:r>
        <w:t>This document defines the Assessment domain model for TAO Assess. It identifies the core business entities, aggregate boundaries and persistence strategy required to implement the MVP while keeping the model simple enough for a single-developer SaaS product.</w:t>
      </w:r>
    </w:p>
    <w:p>
      <w:pPr>
        <w:pStyle w:val="Heading1"/>
      </w:pPr>
      <w:r>
        <w:t>2. Design Philosophy</w:t>
      </w:r>
    </w:p>
    <w:p>
      <w:pPr>
        <w:pStyle w:val="ListBullet"/>
      </w:pPr>
      <w:r>
        <w:t>Persist business facts, not implementation details.</w:t>
      </w:r>
    </w:p>
    <w:p>
      <w:pPr>
        <w:pStyle w:val="ListBullet"/>
      </w:pPr>
      <w:r>
        <w:t>Keep Aggregate Roots small and focused.</w:t>
      </w:r>
    </w:p>
    <w:p>
      <w:pPr>
        <w:pStyle w:val="ListBullet"/>
      </w:pPr>
      <w:r>
        <w:t>Runtime orchestration data should remain in memory whenever possible.</w:t>
      </w:r>
    </w:p>
    <w:p>
      <w:pPr>
        <w:pStyle w:val="ListBullet"/>
      </w:pPr>
      <w:r>
        <w:t>Design for extensibility without over-engineering the MVP.</w:t>
      </w:r>
    </w:p>
    <w:p>
      <w:pPr>
        <w:pStyle w:val="ListBullet"/>
      </w:pPr>
      <w:r>
        <w:t>Only persist information that has long-term business or audit value.</w:t>
      </w:r>
    </w:p>
    <w:p>
      <w:pPr>
        <w:pStyle w:val="Heading1"/>
      </w:pPr>
      <w:r>
        <w:t>3. Aggregate Root</w:t>
      </w:r>
    </w:p>
    <w:p>
      <w:r>
        <w:t>AssessmentSession is the Aggregate Root. All candidate interactions during a technical assessment are coordinated through this aggregate.</w:t>
      </w:r>
    </w:p>
    <w:tbl>
      <w:tblPr>
        <w:tblStyle w:val="TableGrid"/>
        <w:tblW w:type="auto" w:w="0"/>
        <w:tblLook w:firstColumn="1" w:firstRow="1" w:lastColumn="0" w:lastRow="0" w:noHBand="0" w:noVBand="1" w:val="04A0"/>
      </w:tblPr>
      <w:tblGrid>
        <w:gridCol w:w="2880"/>
        <w:gridCol w:w="2880"/>
        <w:gridCol w:w="2880"/>
      </w:tblGrid>
      <w:tr>
        <w:tc>
          <w:tcPr>
            <w:tcW w:type="dxa" w:w="2880"/>
          </w:tcPr>
          <w:p>
            <w:r>
              <w:t>Aggregate</w:t>
            </w:r>
          </w:p>
        </w:tc>
        <w:tc>
          <w:tcPr>
            <w:tcW w:type="dxa" w:w="2880"/>
          </w:tcPr>
          <w:p>
            <w:r>
              <w:t>Reason</w:t>
            </w:r>
          </w:p>
        </w:tc>
        <w:tc>
          <w:tcPr>
            <w:tcW w:type="dxa" w:w="2880"/>
          </w:tcPr>
          <w:p>
            <w:r>
              <w:t>Persistence</w:t>
            </w:r>
          </w:p>
        </w:tc>
      </w:tr>
      <w:tr>
        <w:tc>
          <w:tcPr>
            <w:tcW w:type="dxa" w:w="2880"/>
          </w:tcPr>
          <w:p>
            <w:r>
              <w:t>AssessmentSession</w:t>
            </w:r>
          </w:p>
        </w:tc>
        <w:tc>
          <w:tcPr>
            <w:tcW w:type="dxa" w:w="2880"/>
          </w:tcPr>
          <w:p>
            <w:r>
              <w:t>Represents one complete assessment lifecycle.</w:t>
            </w:r>
          </w:p>
        </w:tc>
        <w:tc>
          <w:tcPr>
            <w:tcW w:type="dxa" w:w="2880"/>
          </w:tcPr>
          <w:p>
            <w:r>
              <w:t>Persisted</w:t>
            </w:r>
          </w:p>
        </w:tc>
      </w:tr>
      <w:tr>
        <w:tc>
          <w:tcPr>
            <w:tcW w:type="dxa" w:w="2880"/>
          </w:tcPr>
          <w:p>
            <w:r>
              <w:t>AssessmentQuestion</w:t>
            </w:r>
          </w:p>
        </w:tc>
        <w:tc>
          <w:tcPr>
            <w:tcW w:type="dxa" w:w="2880"/>
          </w:tcPr>
          <w:p>
            <w:r>
              <w:t>Stores generated questions and candidate responses.</w:t>
            </w:r>
          </w:p>
        </w:tc>
        <w:tc>
          <w:tcPr>
            <w:tcW w:type="dxa" w:w="2880"/>
          </w:tcPr>
          <w:p>
            <w:r>
              <w:t>Persisted</w:t>
            </w:r>
          </w:p>
        </w:tc>
      </w:tr>
      <w:tr>
        <w:tc>
          <w:tcPr>
            <w:tcW w:type="dxa" w:w="2880"/>
          </w:tcPr>
          <w:p>
            <w:r>
              <w:t>AssessmentReport</w:t>
            </w:r>
          </w:p>
        </w:tc>
        <w:tc>
          <w:tcPr>
            <w:tcW w:type="dxa" w:w="2880"/>
          </w:tcPr>
          <w:p>
            <w:r>
              <w:t>Stores recruiter-facing assessment outcome.</w:t>
            </w:r>
          </w:p>
        </w:tc>
        <w:tc>
          <w:tcPr>
            <w:tcW w:type="dxa" w:w="2880"/>
          </w:tcPr>
          <w:p>
            <w:r>
              <w:t>Persisted</w:t>
            </w:r>
          </w:p>
        </w:tc>
      </w:tr>
    </w:tbl>
    <w:p>
      <w:pPr>
        <w:pStyle w:val="Heading1"/>
      </w:pPr>
      <w:r>
        <w:t>4. AssessmentSession (Aggregate Root)</w:t>
      </w:r>
    </w:p>
    <w:p>
      <w:pPr>
        <w:pStyle w:val="ListBullet"/>
      </w:pPr>
      <w:r>
        <w:t>AssessmentSessionId</w:t>
      </w:r>
    </w:p>
    <w:p>
      <w:pPr>
        <w:pStyle w:val="ListBullet"/>
      </w:pPr>
      <w:r>
        <w:t>CampaignId</w:t>
      </w:r>
    </w:p>
    <w:p>
      <w:pPr>
        <w:pStyle w:val="ListBullet"/>
      </w:pPr>
      <w:r>
        <w:t>CandidateId</w:t>
      </w:r>
    </w:p>
    <w:p>
      <w:pPr>
        <w:pStyle w:val="ListBullet"/>
      </w:pPr>
      <w:r>
        <w:t>AssessmentStrategyId</w:t>
      </w:r>
    </w:p>
    <w:p>
      <w:pPr>
        <w:pStyle w:val="ListBullet"/>
      </w:pPr>
      <w:r>
        <w:t>AssessmentStrategyVersion</w:t>
      </w:r>
    </w:p>
    <w:p>
      <w:pPr>
        <w:pStyle w:val="ListBullet"/>
      </w:pPr>
      <w:r>
        <w:t>Status</w:t>
      </w:r>
    </w:p>
    <w:p>
      <w:pPr>
        <w:pStyle w:val="ListBullet"/>
      </w:pPr>
      <w:r>
        <w:t>StartedAt</w:t>
      </w:r>
    </w:p>
    <w:p>
      <w:pPr>
        <w:pStyle w:val="ListBullet"/>
      </w:pPr>
      <w:r>
        <w:t>CompletedAt</w:t>
      </w:r>
    </w:p>
    <w:p>
      <w:pPr>
        <w:pStyle w:val="ListBullet"/>
      </w:pPr>
      <w:r>
        <w:t>CurrentRound</w:t>
      </w:r>
    </w:p>
    <w:p>
      <w:pPr>
        <w:pStyle w:val="ListBullet"/>
      </w:pPr>
      <w:r>
        <w:t>RecoveryCount</w:t>
      </w:r>
    </w:p>
    <w:p>
      <w:pPr>
        <w:pStyle w:val="ListBullet"/>
      </w:pPr>
      <w:r>
        <w:t>TechnicalRecommendation</w:t>
      </w:r>
    </w:p>
    <w:p>
      <w:pPr>
        <w:pStyle w:val="ListBullet"/>
      </w:pPr>
      <w:r>
        <w:t>ConfidenceLevel</w:t>
      </w:r>
    </w:p>
    <w:p>
      <w:pPr>
        <w:pStyle w:val="ListBullet"/>
      </w:pPr>
      <w:r>
        <w:t>CompetencyCoverage</w:t>
      </w:r>
    </w:p>
    <w:p>
      <w:pPr>
        <w:pStyle w:val="Heading1"/>
      </w:pPr>
      <w:r>
        <w:t>5. AssessmentQuestion</w:t>
      </w:r>
    </w:p>
    <w:p>
      <w:pPr>
        <w:pStyle w:val="ListBullet"/>
      </w:pPr>
      <w:r>
        <w:t>QuestionId</w:t>
      </w:r>
    </w:p>
    <w:p>
      <w:pPr>
        <w:pStyle w:val="ListBullet"/>
      </w:pPr>
      <w:r>
        <w:t>AssessmentSessionId</w:t>
      </w:r>
    </w:p>
    <w:p>
      <w:pPr>
        <w:pStyle w:val="ListBullet"/>
      </w:pPr>
      <w:r>
        <w:t>Round</w:t>
      </w:r>
    </w:p>
    <w:p>
      <w:pPr>
        <w:pStyle w:val="ListBullet"/>
      </w:pPr>
      <w:r>
        <w:t>QuestionText</w:t>
      </w:r>
    </w:p>
    <w:p>
      <w:pPr>
        <w:pStyle w:val="ListBullet"/>
      </w:pPr>
      <w:r>
        <w:t>Technology</w:t>
      </w:r>
    </w:p>
    <w:p>
      <w:pPr>
        <w:pStyle w:val="ListBullet"/>
      </w:pPr>
      <w:r>
        <w:t>Difficulty</w:t>
      </w:r>
    </w:p>
    <w:p>
      <w:pPr>
        <w:pStyle w:val="ListBullet"/>
      </w:pPr>
      <w:r>
        <w:t>CandidateCode</w:t>
      </w:r>
    </w:p>
    <w:p>
      <w:pPr>
        <w:pStyle w:val="ListBullet"/>
      </w:pPr>
      <w:r>
        <w:t>CandidateExplanation</w:t>
      </w:r>
    </w:p>
    <w:p>
      <w:pPr>
        <w:pStyle w:val="ListBullet"/>
      </w:pPr>
      <w:r>
        <w:t>Skipped</w:t>
      </w:r>
    </w:p>
    <w:p>
      <w:pPr>
        <w:pStyle w:val="ListBullet"/>
      </w:pPr>
      <w:r>
        <w:t>EvaluationSummary</w:t>
      </w:r>
    </w:p>
    <w:p>
      <w:pPr>
        <w:pStyle w:val="Heading1"/>
      </w:pPr>
      <w:r>
        <w:t>6. AssessmentReport</w:t>
      </w:r>
    </w:p>
    <w:p>
      <w:pPr>
        <w:pStyle w:val="ListBullet"/>
      </w:pPr>
      <w:r>
        <w:t>Executive Summary</w:t>
      </w:r>
    </w:p>
    <w:p>
      <w:pPr>
        <w:pStyle w:val="ListBullet"/>
      </w:pPr>
      <w:r>
        <w:t>Strengths</w:t>
      </w:r>
    </w:p>
    <w:p>
      <w:pPr>
        <w:pStyle w:val="ListBullet"/>
      </w:pPr>
      <w:r>
        <w:t>Areas for Improvement</w:t>
      </w:r>
    </w:p>
    <w:p>
      <w:pPr>
        <w:pStyle w:val="ListBullet"/>
      </w:pPr>
      <w:r>
        <w:t>Competency Matrix</w:t>
      </w:r>
    </w:p>
    <w:p>
      <w:pPr>
        <w:pStyle w:val="ListBullet"/>
      </w:pPr>
      <w:r>
        <w:t>Round-by-Round Summary</w:t>
      </w:r>
    </w:p>
    <w:p>
      <w:pPr>
        <w:pStyle w:val="ListBullet"/>
      </w:pPr>
      <w:r>
        <w:t>Evidence Log</w:t>
      </w:r>
    </w:p>
    <w:p>
      <w:pPr>
        <w:pStyle w:val="ListBullet"/>
      </w:pPr>
      <w:r>
        <w:t>Assessment Audit</w:t>
      </w:r>
    </w:p>
    <w:p>
      <w:pPr>
        <w:pStyle w:val="Heading1"/>
      </w:pPr>
      <w:r>
        <w:t>7. Runtime Objects (Not Persisted)</w:t>
      </w:r>
    </w:p>
    <w:p>
      <w:r>
        <w:t>The following objects exist only during interview execution and are intentionally excluded from database persistence for the MVP.</w:t>
      </w:r>
    </w:p>
    <w:p>
      <w:pPr>
        <w:pStyle w:val="ListBullet"/>
      </w:pPr>
      <w:r>
        <w:t>Question Blueprint</w:t>
      </w:r>
    </w:p>
    <w:p>
      <w:pPr>
        <w:pStyle w:val="ListBullet"/>
      </w:pPr>
      <w:r>
        <w:t>Prompt Builder Output</w:t>
      </w:r>
    </w:p>
    <w:p>
      <w:pPr>
        <w:pStyle w:val="ListBullet"/>
      </w:pPr>
      <w:r>
        <w:t>LLM Requests</w:t>
      </w:r>
    </w:p>
    <w:p>
      <w:pPr>
        <w:pStyle w:val="ListBullet"/>
      </w:pPr>
      <w:r>
        <w:t>LLM Responses (except generated question text)</w:t>
      </w:r>
    </w:p>
    <w:p>
      <w:pPr>
        <w:pStyle w:val="ListBullet"/>
      </w:pPr>
      <w:r>
        <w:t>Conversation Context</w:t>
      </w:r>
    </w:p>
    <w:p>
      <w:pPr>
        <w:pStyle w:val="ListBullet"/>
      </w:pPr>
      <w:r>
        <w:t>Intermediate AI reasoning</w:t>
      </w:r>
    </w:p>
    <w:p>
      <w:pPr>
        <w:pStyle w:val="ListBullet"/>
      </w:pPr>
      <w:r>
        <w:t>Runtime orchestration state</w:t>
      </w:r>
    </w:p>
    <w:p>
      <w:pPr>
        <w:pStyle w:val="Heading1"/>
      </w:pPr>
      <w:r>
        <w:t>8. Metadata to Persist</w:t>
      </w:r>
    </w:p>
    <w:p>
      <w:pPr>
        <w:pStyle w:val="ListBullet"/>
      </w:pPr>
      <w:r>
        <w:t>LLM Provider Name</w:t>
      </w:r>
    </w:p>
    <w:p>
      <w:pPr>
        <w:pStyle w:val="ListBullet"/>
      </w:pPr>
      <w:r>
        <w:t>LLM Model Version</w:t>
      </w:r>
    </w:p>
    <w:p>
      <w:pPr>
        <w:pStyle w:val="ListBullet"/>
      </w:pPr>
      <w:r>
        <w:t>Prompt Version</w:t>
      </w:r>
    </w:p>
    <w:p>
      <w:pPr>
        <w:pStyle w:val="ListBullet"/>
      </w:pPr>
      <w:r>
        <w:t>Assessment Strategy Version</w:t>
      </w:r>
    </w:p>
    <w:p>
      <w:pPr>
        <w:pStyle w:val="Heading1"/>
      </w:pPr>
      <w:r>
        <w:t>9. Design Decisions</w:t>
      </w:r>
    </w:p>
    <w:p>
      <w:pPr>
        <w:pStyle w:val="ListBullet"/>
      </w:pPr>
      <w:r>
        <w:t>Question Blueprints are regenerated when needed and are not stored.</w:t>
      </w:r>
    </w:p>
    <w:p>
      <w:pPr>
        <w:pStyle w:val="ListBullet"/>
      </w:pPr>
      <w:r>
        <w:t>AssessmentSnapshot is replaced by AssessmentStrategyVersion for the MVP.</w:t>
      </w:r>
    </w:p>
    <w:p>
      <w:pPr>
        <w:pStyle w:val="ListBullet"/>
      </w:pPr>
      <w:r>
        <w:t>Business evidence is captured in the Assessment Report rather than a separate CompetencyEvidence table.</w:t>
      </w:r>
    </w:p>
    <w:p>
      <w:pPr>
        <w:pStyle w:val="ListBullet"/>
      </w:pPr>
      <w:r>
        <w:t>Prompt templates remain in source control and are not stored per assessment.</w:t>
      </w:r>
    </w:p>
    <w:p>
      <w:pPr>
        <w:pStyle w:val="ListBullet"/>
      </w:pPr>
      <w:r>
        <w:t>The model is intentionally optimized for simplicity and maintainability.</w:t>
      </w:r>
    </w:p>
    <w:p>
      <w:pPr>
        <w:pStyle w:val="Heading1"/>
      </w:pPr>
      <w:r>
        <w:t>10. Future Extensions (Post-MVP)</w:t>
      </w:r>
    </w:p>
    <w:p>
      <w:pPr>
        <w:pStyle w:val="ListBullet"/>
      </w:pPr>
      <w:r>
        <w:t>AssessmentSnapshot entity</w:t>
      </w:r>
    </w:p>
    <w:p>
      <w:pPr>
        <w:pStyle w:val="ListBullet"/>
      </w:pPr>
      <w:r>
        <w:t>CompetencyEvidence entity</w:t>
      </w:r>
    </w:p>
    <w:p>
      <w:pPr>
        <w:pStyle w:val="ListBullet"/>
      </w:pPr>
      <w:r>
        <w:t>Conversation transcript archive</w:t>
      </w:r>
    </w:p>
    <w:p>
      <w:pPr>
        <w:pStyle w:val="ListBullet"/>
      </w:pPr>
      <w:r>
        <w:t>Prompt execution history</w:t>
      </w:r>
    </w:p>
    <w:p>
      <w:pPr>
        <w:pStyle w:val="ListBullet"/>
      </w:pPr>
      <w:r>
        <w:t>Advanced analytics data model</w:t>
      </w:r>
    </w:p>
    <w:p>
      <w:pPr>
        <w:pStyle w:val="ListBullet"/>
      </w:pPr>
      <w:r>
        <w:t>Event sourcing</w:t>
      </w:r>
    </w:p>
    <w:p>
      <w:pPr>
        <w:pStyle w:val="Heading1"/>
      </w:pPr>
      <w:r>
        <w:t>11. Relationship to Other Documents</w:t>
      </w:r>
    </w:p>
    <w:p>
      <w:r>
        <w:t>This document complements SDD-001 (AI Interview Orchestration Engine) and supports implementation of AS-FR-001 through AS-FR-005. It defines the persistent business model while SDD-001 defines runtime orchestration.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