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Software Design Document</w:t>
      </w:r>
    </w:p>
    <w:p>
      <w:pPr>
        <w:jc w:val="center"/>
      </w:pPr>
      <w:r>
        <w:rPr>
          <w:b/>
        </w:rPr>
        <w:t>SDD-003 – LLM Provider Architecture</w:t>
        <w:br/>
      </w:r>
      <w:r>
        <w:t>Version 1.0 (MVP Baseline)</w:t>
      </w:r>
    </w:p>
    <w:p>
      <w:pPr>
        <w:pStyle w:val="Heading1"/>
      </w:pPr>
      <w:r>
        <w:t>1. Purpose</w:t>
      </w:r>
    </w:p>
    <w:p>
      <w:r>
        <w:t>This document defines the abstraction layer between TAO and any Large Language Model (LLM). The objective is to ensure that TAO business logic, interview orchestration and domain services remain independent of any specific AI provider.</w:t>
      </w:r>
    </w:p>
    <w:p>
      <w:pPr>
        <w:pStyle w:val="Heading1"/>
      </w:pPr>
      <w:r>
        <w:t>2. Design Philosophy</w:t>
      </w:r>
    </w:p>
    <w:p>
      <w:pPr>
        <w:pStyle w:val="ListBullet"/>
      </w:pPr>
      <w:r>
        <w:t>Depend on abstractions, never on a specific AI provider.</w:t>
      </w:r>
    </w:p>
    <w:p>
      <w:pPr>
        <w:pStyle w:val="ListBullet"/>
      </w:pPr>
      <w:r>
        <w:t>Keep business rules outside the LLM.</w:t>
      </w:r>
    </w:p>
    <w:p>
      <w:pPr>
        <w:pStyle w:val="ListBullet"/>
      </w:pPr>
      <w:r>
        <w:t>Allow providers to be replaced through configuration.</w:t>
      </w:r>
    </w:p>
    <w:p>
      <w:pPr>
        <w:pStyle w:val="ListBullet"/>
      </w:pPr>
      <w:r>
        <w:t>Support future capabilities without redesigning the domain model.</w:t>
      </w:r>
    </w:p>
    <w:p>
      <w:pPr>
        <w:pStyle w:val="ListBullet"/>
      </w:pPr>
      <w:r>
        <w:t>Keep the MVP simple while preparing for enterprise-scale evolution.</w:t>
      </w:r>
    </w:p>
    <w:p>
      <w:pPr>
        <w:pStyle w:val="Heading1"/>
      </w:pPr>
      <w:r>
        <w:t>3. Why This Architecture Exists</w:t>
      </w:r>
    </w:p>
    <w:p>
      <w:r>
        <w:t>The AI ecosystem changes rapidly. New models, pricing, capabilities and deployment options appear frequently. TAO must not require business code changes when switching from Ollama to Azure OpenAI, OpenAI, Claude, Gemini or future providers.</w:t>
      </w:r>
    </w:p>
    <w:p>
      <w:pPr>
        <w:pStyle w:val="Heading1"/>
      </w:pPr>
      <w:r>
        <w:t>4. High-Level Architecture</w:t>
      </w:r>
    </w:p>
    <w:p>
      <w:r>
        <w:t>Interview Orchestrator</w:t>
        <w:br/>
        <w:t xml:space="preserve">        ↓</w:t>
        <w:br/>
        <w:t>Prompt Builder</w:t>
        <w:br/>
        <w:t xml:space="preserve">        ↓</w:t>
        <w:br/>
        <w:t>ILLMProvider (Interface)</w:t>
        <w:br/>
        <w:t xml:space="preserve">        ↓</w:t>
        <w:br/>
        <w:t>---------------------------------</w:t>
        <w:br/>
        <w:t>OllamaProvider</w:t>
        <w:br/>
        <w:t>OpenAIProvider</w:t>
        <w:br/>
        <w:t>AzureOpenAIProvider</w:t>
        <w:br/>
        <w:t>ClaudeProvider</w:t>
        <w:br/>
        <w:t>GeminiProvider</w:t>
        <w:br/>
        <w:t>MockProvider (Testing)</w:t>
        <w:br/>
      </w:r>
    </w:p>
    <w:p>
      <w:pPr>
        <w:pStyle w:val="Heading1"/>
      </w:pPr>
      <w:r>
        <w:t>5. Core Interfaces</w:t>
      </w:r>
    </w:p>
    <w:tbl>
      <w:tblPr>
        <w:tblStyle w:val="TableGrid"/>
        <w:tblW w:type="auto" w:w="0"/>
        <w:tblLook w:firstColumn="1" w:firstRow="1" w:lastColumn="0" w:lastRow="0" w:noHBand="0" w:noVBand="1" w:val="04A0"/>
      </w:tblPr>
      <w:tblGrid>
        <w:gridCol w:w="4320"/>
        <w:gridCol w:w="4320"/>
      </w:tblGrid>
      <w:tr>
        <w:tc>
          <w:tcPr>
            <w:tcW w:type="dxa" w:w="4320"/>
          </w:tcPr>
          <w:p>
            <w:r>
              <w:t>Interface / Component</w:t>
            </w:r>
          </w:p>
        </w:tc>
        <w:tc>
          <w:tcPr>
            <w:tcW w:type="dxa" w:w="4320"/>
          </w:tcPr>
          <w:p>
            <w:r>
              <w:t>Responsibility</w:t>
            </w:r>
          </w:p>
        </w:tc>
      </w:tr>
      <w:tr>
        <w:tc>
          <w:tcPr>
            <w:tcW w:type="dxa" w:w="4320"/>
          </w:tcPr>
          <w:p>
            <w:r>
              <w:t>ILLMProvider</w:t>
            </w:r>
          </w:p>
        </w:tc>
        <w:tc>
          <w:tcPr>
            <w:tcW w:type="dxa" w:w="4320"/>
          </w:tcPr>
          <w:p>
            <w:r>
              <w:t>Single abstraction for communicating with any LLM.</w:t>
            </w:r>
          </w:p>
        </w:tc>
      </w:tr>
      <w:tr>
        <w:tc>
          <w:tcPr>
            <w:tcW w:type="dxa" w:w="4320"/>
          </w:tcPr>
          <w:p>
            <w:r>
              <w:t>PromptBuilder</w:t>
            </w:r>
          </w:p>
        </w:tc>
        <w:tc>
          <w:tcPr>
            <w:tcW w:type="dxa" w:w="4320"/>
          </w:tcPr>
          <w:p>
            <w:r>
              <w:t>Creates provider-independent prompts from templates.</w:t>
            </w:r>
          </w:p>
        </w:tc>
      </w:tr>
      <w:tr>
        <w:tc>
          <w:tcPr>
            <w:tcW w:type="dxa" w:w="4320"/>
          </w:tcPr>
          <w:p>
            <w:r>
              <w:t>InterviewOrchestrator</w:t>
            </w:r>
          </w:p>
        </w:tc>
        <w:tc>
          <w:tcPr>
            <w:tcW w:type="dxa" w:w="4320"/>
          </w:tcPr>
          <w:p>
            <w:r>
              <w:t>Controls interview flow and invokes ILLMProvider.</w:t>
            </w:r>
          </w:p>
        </w:tc>
      </w:tr>
      <w:tr>
        <w:tc>
          <w:tcPr>
            <w:tcW w:type="dxa" w:w="4320"/>
          </w:tcPr>
          <w:p>
            <w:r>
              <w:t>ConversationManager</w:t>
            </w:r>
          </w:p>
        </w:tc>
        <w:tc>
          <w:tcPr>
            <w:tcW w:type="dxa" w:w="4320"/>
          </w:tcPr>
          <w:p>
            <w:r>
              <w:t>Maintains context only for the active assessment.</w:t>
            </w:r>
          </w:p>
        </w:tc>
      </w:tr>
      <w:tr>
        <w:tc>
          <w:tcPr>
            <w:tcW w:type="dxa" w:w="4320"/>
          </w:tcPr>
          <w:p>
            <w:r>
              <w:t>ProviderFactory</w:t>
            </w:r>
          </w:p>
        </w:tc>
        <w:tc>
          <w:tcPr>
            <w:tcW w:type="dxa" w:w="4320"/>
          </w:tcPr>
          <w:p>
            <w:r>
              <w:t>Resolves the configured provider at runtime.</w:t>
            </w:r>
          </w:p>
        </w:tc>
      </w:tr>
    </w:tbl>
    <w:p>
      <w:pPr>
        <w:pStyle w:val="Heading1"/>
      </w:pPr>
      <w:r>
        <w:t>6. MVP Strategy</w:t>
      </w:r>
    </w:p>
    <w:p>
      <w:pPr>
        <w:pStyle w:val="ListBullet"/>
      </w:pPr>
      <w:r>
        <w:t>Support one configured provider per deployment.</w:t>
      </w:r>
    </w:p>
    <w:p>
      <w:pPr>
        <w:pStyle w:val="ListBullet"/>
      </w:pPr>
      <w:r>
        <w:t>Default target: Ollama (free/local).</w:t>
      </w:r>
    </w:p>
    <w:p>
      <w:pPr>
        <w:pStyle w:val="ListBullet"/>
      </w:pPr>
      <w:r>
        <w:t>Provider selected using configuration.</w:t>
      </w:r>
    </w:p>
    <w:p>
      <w:pPr>
        <w:pStyle w:val="ListBullet"/>
      </w:pPr>
      <w:r>
        <w:t>Business logic remains unchanged when switching providers.</w:t>
      </w:r>
    </w:p>
    <w:p>
      <w:pPr>
        <w:pStyle w:val="ListBullet"/>
      </w:pPr>
      <w:r>
        <w:t>Prompt templates stored in version-controlled files.</w:t>
      </w:r>
    </w:p>
    <w:p>
      <w:pPr>
        <w:pStyle w:val="Heading1"/>
      </w:pPr>
      <w:r>
        <w:t>7. Future-Proofing Decisions</w:t>
      </w:r>
    </w:p>
    <w:p>
      <w:pPr>
        <w:pStyle w:val="ListBullet"/>
      </w:pPr>
      <w:r>
        <w:t>All AI requests pass through ILLMProvider.</w:t>
      </w:r>
    </w:p>
    <w:p>
      <w:pPr>
        <w:pStyle w:val="ListBullet"/>
      </w:pPr>
      <w:r>
        <w:t>Provider-specific SDKs are isolated inside infrastructure.</w:t>
      </w:r>
    </w:p>
    <w:p>
      <w:pPr>
        <w:pStyle w:val="ListBullet"/>
      </w:pPr>
      <w:r>
        <w:t>Prompt templates are independent of provider SDKs.</w:t>
      </w:r>
    </w:p>
    <w:p>
      <w:pPr>
        <w:pStyle w:val="ListBullet"/>
      </w:pPr>
      <w:r>
        <w:t>Assessment orchestration never references provider-specific APIs.</w:t>
      </w:r>
    </w:p>
    <w:p>
      <w:pPr>
        <w:pStyle w:val="ListBullet"/>
      </w:pPr>
      <w:r>
        <w:t>Model names, temperature and token limits remain configurable.</w:t>
      </w:r>
    </w:p>
    <w:p>
      <w:pPr>
        <w:pStyle w:val="ListBullet"/>
      </w:pPr>
      <w:r>
        <w:t>Future multimodal, voice and reasoning models can be added without changing the domain layer.</w:t>
      </w:r>
    </w:p>
    <w:p>
      <w:pPr>
        <w:pStyle w:val="Heading1"/>
      </w:pPr>
      <w:r>
        <w:t>8. Provider Metadata to Persist</w:t>
      </w:r>
    </w:p>
    <w:p>
      <w:pPr>
        <w:pStyle w:val="ListBullet"/>
      </w:pPr>
      <w:r>
        <w:t>Provider Name</w:t>
      </w:r>
    </w:p>
    <w:p>
      <w:pPr>
        <w:pStyle w:val="ListBullet"/>
      </w:pPr>
      <w:r>
        <w:t>Model Name / Version</w:t>
      </w:r>
    </w:p>
    <w:p>
      <w:pPr>
        <w:pStyle w:val="ListBullet"/>
      </w:pPr>
      <w:r>
        <w:t>Prompt Version</w:t>
      </w:r>
    </w:p>
    <w:p>
      <w:pPr>
        <w:pStyle w:val="ListBullet"/>
      </w:pPr>
      <w:r>
        <w:t>Assessment Strategy Version</w:t>
      </w:r>
    </w:p>
    <w:p>
      <w:pPr>
        <w:pStyle w:val="Heading1"/>
      </w:pPr>
      <w:r>
        <w:t>9. Non-Goals (MVP)</w:t>
      </w:r>
    </w:p>
    <w:p>
      <w:pPr>
        <w:pStyle w:val="ListBullet"/>
      </w:pPr>
      <w:r>
        <w:t>No automatic provider failover.</w:t>
      </w:r>
    </w:p>
    <w:p>
      <w:pPr>
        <w:pStyle w:val="ListBullet"/>
      </w:pPr>
      <w:r>
        <w:t>No multi-provider execution for a single assessment.</w:t>
      </w:r>
    </w:p>
    <w:p>
      <w:pPr>
        <w:pStyle w:val="ListBullet"/>
      </w:pPr>
      <w:r>
        <w:t>No prompt management UI.</w:t>
      </w:r>
    </w:p>
    <w:p>
      <w:pPr>
        <w:pStyle w:val="ListBullet"/>
      </w:pPr>
      <w:r>
        <w:t>No provider benchmarking dashboard.</w:t>
      </w:r>
    </w:p>
    <w:p>
      <w:pPr>
        <w:pStyle w:val="Heading1"/>
      </w:pPr>
      <w:r>
        <w:t>10. Post-MVP Roadmap</w:t>
      </w:r>
    </w:p>
    <w:p>
      <w:pPr>
        <w:pStyle w:val="ListBullet"/>
      </w:pPr>
      <w:r>
        <w:t>Runtime provider switching.</w:t>
      </w:r>
    </w:p>
    <w:p>
      <w:pPr>
        <w:pStyle w:val="ListBullet"/>
      </w:pPr>
      <w:r>
        <w:t>A/B testing across providers.</w:t>
      </w:r>
    </w:p>
    <w:p>
      <w:pPr>
        <w:pStyle w:val="ListBullet"/>
      </w:pPr>
      <w:r>
        <w:t>Automatic provider fallback.</w:t>
      </w:r>
    </w:p>
    <w:p>
      <w:pPr>
        <w:pStyle w:val="ListBullet"/>
      </w:pPr>
      <w:r>
        <w:t>Cost-aware provider routing.</w:t>
      </w:r>
    </w:p>
    <w:p>
      <w:pPr>
        <w:pStyle w:val="ListBullet"/>
      </w:pPr>
      <w:r>
        <w:t>Organization-specific provider selection.</w:t>
      </w:r>
    </w:p>
    <w:p>
      <w:pPr>
        <w:pStyle w:val="ListBullet"/>
      </w:pPr>
      <w:r>
        <w:t>Prompt management portal.</w:t>
      </w:r>
    </w:p>
    <w:p>
      <w:pPr>
        <w:pStyle w:val="Heading1"/>
      </w:pPr>
      <w:r>
        <w:t>11. Relationship to Other Documents</w:t>
      </w:r>
    </w:p>
    <w:p>
      <w:r>
        <w:t>SDD-003 complements SDD-001 (AI Interview Orchestration Engine) and SDD-002 (Assessment Domain Model). Together they ensure TAO remains modular, provider-agnostic and easy to evolve as AI technology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