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Engineering Handbook</w:t>
      </w:r>
    </w:p>
    <w:p>
      <w:pPr>
        <w:jc w:val="center"/>
      </w:pPr>
      <w:r>
        <w:rPr>
          <w:b/>
          <w:sz w:val="32"/>
        </w:rPr>
        <w:t>EH-001 – Architecture Principles &amp; Engineering Philosophy</w:t>
        <w:br/>
      </w:r>
      <w:r>
        <w:t>Version 1.0 (MVP Baseline)</w:t>
      </w:r>
    </w:p>
    <w:p>
      <w:pPr>
        <w:pStyle w:val="Heading1"/>
      </w:pPr>
      <w:r>
        <w:t>1. Purpose</w:t>
      </w:r>
    </w:p>
    <w:p>
      <w:r>
        <w:t>This document defines the engineering philosophy that guides every architectural and implementation decision within TAO. It is the foundation for all future development and should be considered the primary reference whenever new features or technical decisions are introduced.</w:t>
      </w:r>
    </w:p>
    <w:p>
      <w:pPr>
        <w:pStyle w:val="Heading1"/>
      </w:pPr>
      <w:r>
        <w:t>2. Vision</w:t>
      </w:r>
    </w:p>
    <w:p>
      <w:r>
        <w:t>TAO is designed as an AI-first recruitment platform consisting of independently licensable products. The MVP will be delivered as a modular monolith with clean product boundaries while preserving a clear path toward an enterprise SaaS platform.</w:t>
      </w:r>
    </w:p>
    <w:p>
      <w:pPr>
        <w:pStyle w:val="Heading1"/>
      </w:pPr>
      <w:r>
        <w:t>3. Core Engineering Principles</w:t>
      </w:r>
    </w:p>
    <w:tbl>
      <w:tblPr>
        <w:tblStyle w:val="TableGrid"/>
        <w:tblW w:type="auto" w:w="0"/>
        <w:tblLook w:firstColumn="1" w:firstRow="1" w:lastColumn="0" w:lastRow="0" w:noHBand="0" w:noVBand="1" w:val="04A0"/>
      </w:tblPr>
      <w:tblGrid>
        <w:gridCol w:w="4320"/>
        <w:gridCol w:w="4320"/>
      </w:tblGrid>
      <w:tr>
        <w:tc>
          <w:tcPr>
            <w:tcW w:type="dxa" w:w="4320"/>
          </w:tcPr>
          <w:p>
            <w:r>
              <w:t>Principle</w:t>
            </w:r>
          </w:p>
        </w:tc>
        <w:tc>
          <w:tcPr>
            <w:tcW w:type="dxa" w:w="4320"/>
          </w:tcPr>
          <w:p>
            <w:r>
              <w:t>Meaning</w:t>
            </w:r>
          </w:p>
        </w:tc>
      </w:tr>
      <w:tr>
        <w:tc>
          <w:tcPr>
            <w:tcW w:type="dxa" w:w="4320"/>
          </w:tcPr>
          <w:p>
            <w:r>
              <w:t>Products are independent. Infrastructure is shared.</w:t>
            </w:r>
          </w:p>
        </w:tc>
        <w:tc>
          <w:tcPr>
            <w:tcW w:type="dxa" w:w="4320"/>
          </w:tcPr>
          <w:p>
            <w:r>
              <w:t>TAO Acquire and TAO Assess own their business capabilities. AI infrastructure, contracts and shared utilities are reused.</w:t>
            </w:r>
          </w:p>
        </w:tc>
      </w:tr>
      <w:tr>
        <w:tc>
          <w:tcPr>
            <w:tcW w:type="dxa" w:w="4320"/>
          </w:tcPr>
          <w:p>
            <w:r>
              <w:t>Business rules belong to the domain.</w:t>
            </w:r>
          </w:p>
        </w:tc>
        <w:tc>
          <w:tcPr>
            <w:tcW w:type="dxa" w:w="4320"/>
          </w:tcPr>
          <w:p>
            <w:r>
              <w:t>LLMs assist with reasoning but never define business policies.</w:t>
            </w:r>
          </w:p>
        </w:tc>
      </w:tr>
      <w:tr>
        <w:tc>
          <w:tcPr>
            <w:tcW w:type="dxa" w:w="4320"/>
          </w:tcPr>
          <w:p>
            <w:r>
              <w:t>Depend on abstractions, not implementations.</w:t>
            </w:r>
          </w:p>
        </w:tc>
        <w:tc>
          <w:tcPr>
            <w:tcW w:type="dxa" w:w="4320"/>
          </w:tcPr>
          <w:p>
            <w:r>
              <w:t>Every external dependency (LLMs, storage, email, etc.) is accessed through interfaces.</w:t>
            </w:r>
          </w:p>
        </w:tc>
      </w:tr>
      <w:tr>
        <w:tc>
          <w:tcPr>
            <w:tcW w:type="dxa" w:w="4320"/>
          </w:tcPr>
          <w:p>
            <w:r>
              <w:t>Backend-first architecture.</w:t>
            </w:r>
          </w:p>
        </w:tc>
        <w:tc>
          <w:tcPr>
            <w:tcW w:type="dxa" w:w="4320"/>
          </w:tcPr>
          <w:p>
            <w:r>
              <w:t>Angular remains a presentation layer. Business orchestration lives entirely in the backend.</w:t>
            </w:r>
          </w:p>
        </w:tc>
      </w:tr>
      <w:tr>
        <w:tc>
          <w:tcPr>
            <w:tcW w:type="dxa" w:w="4320"/>
          </w:tcPr>
          <w:p>
            <w:r>
              <w:t>Vertical Slice Architecture.</w:t>
            </w:r>
          </w:p>
        </w:tc>
        <w:tc>
          <w:tcPr>
            <w:tcW w:type="dxa" w:w="4320"/>
          </w:tcPr>
          <w:p>
            <w:r>
              <w:t>Features are implemented end-to-end using Commands, Queries, Handlers, Validators and Endpoints.</w:t>
            </w:r>
          </w:p>
        </w:tc>
      </w:tr>
      <w:tr>
        <w:tc>
          <w:tcPr>
            <w:tcW w:type="dxa" w:w="4320"/>
          </w:tcPr>
          <w:p>
            <w:r>
              <w:t>Persist business facts, not implementation details.</w:t>
            </w:r>
          </w:p>
        </w:tc>
        <w:tc>
          <w:tcPr>
            <w:tcW w:type="dxa" w:w="4320"/>
          </w:tcPr>
          <w:p>
            <w:r>
              <w:t>Store questions, answers, reports and audits. Do not persist prompts, runtime orchestration or transient AI context.</w:t>
            </w:r>
          </w:p>
        </w:tc>
      </w:tr>
      <w:tr>
        <w:tc>
          <w:tcPr>
            <w:tcW w:type="dxa" w:w="4320"/>
          </w:tcPr>
          <w:p>
            <w:r>
              <w:t>Simple MVP, extensible future.</w:t>
            </w:r>
          </w:p>
        </w:tc>
        <w:tc>
          <w:tcPr>
            <w:tcW w:type="dxa" w:w="4320"/>
          </w:tcPr>
          <w:p>
            <w:r>
              <w:t>Avoid premature complexity while leaving clear extension points.</w:t>
            </w:r>
          </w:p>
        </w:tc>
      </w:tr>
      <w:tr>
        <w:tc>
          <w:tcPr>
            <w:tcW w:type="dxa" w:w="4320"/>
          </w:tcPr>
          <w:p>
            <w:r>
              <w:t>Evidence over opinions.</w:t>
            </w:r>
          </w:p>
        </w:tc>
        <w:tc>
          <w:tcPr>
            <w:tcW w:type="dxa" w:w="4320"/>
          </w:tcPr>
          <w:p>
            <w:r>
              <w:t>Every AI recommendation must be traceable to assessment evidence.</w:t>
            </w:r>
          </w:p>
        </w:tc>
      </w:tr>
      <w:tr>
        <w:tc>
          <w:tcPr>
            <w:tcW w:type="dxa" w:w="4320"/>
          </w:tcPr>
          <w:p>
            <w:r>
              <w:t>Configuration over hardcoding.</w:t>
            </w:r>
          </w:p>
        </w:tc>
        <w:tc>
          <w:tcPr>
            <w:tcW w:type="dxa" w:w="4320"/>
          </w:tcPr>
          <w:p>
            <w:r>
              <w:t>Organizations configure hiring strategy and recommendation thresholds rather than relying on fixed rules.</w:t>
            </w:r>
          </w:p>
        </w:tc>
      </w:tr>
      <w:tr>
        <w:tc>
          <w:tcPr>
            <w:tcW w:type="dxa" w:w="4320"/>
          </w:tcPr>
          <w:p>
            <w:r>
              <w:t>Provider agnostic AI.</w:t>
            </w:r>
          </w:p>
        </w:tc>
        <w:tc>
          <w:tcPr>
            <w:tcW w:type="dxa" w:w="4320"/>
          </w:tcPr>
          <w:p>
            <w:r>
              <w:t>Changing from Ollama to Azure OpenAI or another provider must not require business code changes.</w:t>
            </w:r>
          </w:p>
        </w:tc>
      </w:tr>
    </w:tbl>
    <w:p>
      <w:pPr>
        <w:pStyle w:val="Heading1"/>
      </w:pPr>
      <w:r>
        <w:t>4. Engineering Standards</w:t>
      </w:r>
    </w:p>
    <w:p>
      <w:pPr>
        <w:pStyle w:val="ListBullet"/>
      </w:pPr>
      <w:r>
        <w:t>One repository per Aggregate Root; avoid generic repositories.</w:t>
      </w:r>
    </w:p>
    <w:p>
      <w:pPr>
        <w:pStyle w:val="ListBullet"/>
      </w:pPr>
      <w:r>
        <w:t>Feature-first folder structure.</w:t>
      </w:r>
    </w:p>
    <w:p>
      <w:pPr>
        <w:pStyle w:val="ListBullet"/>
      </w:pPr>
      <w:r>
        <w:t>Small focused services with single responsibility.</w:t>
      </w:r>
    </w:p>
    <w:p>
      <w:pPr>
        <w:pStyle w:val="ListBullet"/>
      </w:pPr>
      <w:r>
        <w:t>Shared libraries contain only reusable technical building blocks.</w:t>
      </w:r>
    </w:p>
    <w:p>
      <w:pPr>
        <w:pStyle w:val="ListBullet"/>
      </w:pPr>
      <w:r>
        <w:t>Every architectural decision should be documented using an ADR when appropriate.</w:t>
      </w:r>
    </w:p>
    <w:p>
      <w:pPr>
        <w:pStyle w:val="ListBullet"/>
      </w:pPr>
      <w:r>
        <w:t>Post-MVP ideas should be documented instead of prematurely implemented.</w:t>
      </w:r>
    </w:p>
    <w:p>
      <w:pPr>
        <w:pStyle w:val="Heading1"/>
      </w:pPr>
      <w:r>
        <w:t>5. Decision Framework</w:t>
      </w:r>
    </w:p>
    <w:p>
      <w:r>
        <w:t>When multiple implementation options exist, decisions should be evaluated in the following order:</w:t>
      </w:r>
    </w:p>
    <w:p>
      <w:pPr>
        <w:pStyle w:val="ListBullet"/>
      </w:pPr>
      <w:r>
        <w:t>1. Business value</w:t>
      </w:r>
    </w:p>
    <w:p>
      <w:pPr>
        <w:pStyle w:val="ListBullet"/>
      </w:pPr>
      <w:r>
        <w:t>2. Simplicity for the MVP</w:t>
      </w:r>
    </w:p>
    <w:p>
      <w:pPr>
        <w:pStyle w:val="ListBullet"/>
      </w:pPr>
      <w:r>
        <w:t>3. Maintainability</w:t>
      </w:r>
    </w:p>
    <w:p>
      <w:pPr>
        <w:pStyle w:val="ListBullet"/>
      </w:pPr>
      <w:r>
        <w:t>4. Extensibility</w:t>
      </w:r>
    </w:p>
    <w:p>
      <w:pPr>
        <w:pStyle w:val="ListBullet"/>
      </w:pPr>
      <w:r>
        <w:t>5. Performance</w:t>
      </w:r>
    </w:p>
    <w:p>
      <w:pPr>
        <w:pStyle w:val="ListBullet"/>
      </w:pPr>
      <w:r>
        <w:t>6. Cost optimisation</w:t>
      </w:r>
    </w:p>
    <w:p>
      <w:pPr>
        <w:pStyle w:val="Heading1"/>
      </w:pPr>
      <w:r>
        <w:t>6. Definition of Success</w:t>
      </w:r>
    </w:p>
    <w:p>
      <w:r>
        <w:t>The MVP is successful when TAO Acquire and TAO Assess deliver a complete end-to-end AI-driven recruitment workflow using clean architecture, clear module boundaries and production-quality engineering practices.</w:t>
      </w:r>
    </w:p>
    <w:p>
      <w:pPr>
        <w:pStyle w:val="Heading1"/>
      </w:pPr>
      <w:r>
        <w:t>7. Relationship to Other Documents</w:t>
      </w:r>
    </w:p>
    <w:p>
      <w:r>
        <w:t>EH-001 is the philosophical foundation for all Engineering Handbook documents. It complements the Functional Requirements, Software Design Documents and Architecture Decision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