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Engineering Handbook</w:t>
      </w:r>
    </w:p>
    <w:p>
      <w:pPr>
        <w:jc w:val="center"/>
      </w:pPr>
      <w:r>
        <w:rPr>
          <w:b/>
          <w:sz w:val="32"/>
        </w:rPr>
        <w:t>EH-003 – Product Boundaries (TAO Acquire &amp; TAO Assess)</w:t>
        <w:br/>
      </w:r>
      <w:r>
        <w:t>Version 1.0 (MVP Baseline)</w:t>
      </w:r>
    </w:p>
    <w:p>
      <w:pPr>
        <w:pStyle w:val="Heading1"/>
      </w:pPr>
      <w:r>
        <w:t>1. Purpose</w:t>
      </w:r>
    </w:p>
    <w:p>
      <w:r>
        <w:t>This document defines ownership boundaries for every major business capability in TAO. Its objective is to prevent feature leakage across products, preserve independent licensing, and provide a single source of truth for deciding where new functionality belongs.</w:t>
      </w:r>
    </w:p>
    <w:p>
      <w:pPr>
        <w:pStyle w:val="Heading1"/>
      </w:pPr>
      <w:r>
        <w:t>2. Why Product Boundaries Matter</w:t>
      </w:r>
    </w:p>
    <w:p>
      <w:pPr>
        <w:pStyle w:val="ListBullet"/>
      </w:pPr>
      <w:r>
        <w:t>Support independent licensing of TAO Acquire and TAO Assess.</w:t>
      </w:r>
    </w:p>
    <w:p>
      <w:pPr>
        <w:pStyle w:val="ListBullet"/>
      </w:pPr>
      <w:r>
        <w:t>Allow future independent deployments.</w:t>
      </w:r>
    </w:p>
    <w:p>
      <w:pPr>
        <w:pStyle w:val="ListBullet"/>
      </w:pPr>
      <w:r>
        <w:t>Reduce coupling between products.</w:t>
      </w:r>
    </w:p>
    <w:p>
      <w:pPr>
        <w:pStyle w:val="ListBullet"/>
      </w:pPr>
      <w:r>
        <w:t>Improve maintainability and testing.</w:t>
      </w:r>
    </w:p>
    <w:p>
      <w:pPr>
        <w:pStyle w:val="ListBullet"/>
      </w:pPr>
      <w:r>
        <w:t>Ensure every business capability has a single owner.</w:t>
      </w:r>
    </w:p>
    <w:p>
      <w:pPr>
        <w:pStyle w:val="Heading1"/>
      </w:pPr>
      <w:r>
        <w:t>3. Product Vision</w:t>
      </w:r>
    </w:p>
    <w:p>
      <w:pPr>
        <w:pStyle w:val="Heading2"/>
      </w:pPr>
      <w:r>
        <w:t>TAO Acquire</w:t>
      </w:r>
    </w:p>
    <w:p>
      <w:r>
        <w:t>Mission: Acquire the right candidates by automating recruitment preparation before the technical assessment begins.</w:t>
      </w:r>
    </w:p>
    <w:p>
      <w:pPr>
        <w:pStyle w:val="ListBullet"/>
      </w:pPr>
      <w:r>
        <w:t>Campaign Management</w:t>
      </w:r>
    </w:p>
    <w:p>
      <w:pPr>
        <w:pStyle w:val="ListBullet"/>
      </w:pPr>
      <w:r>
        <w:t>Job Profile Generation</w:t>
      </w:r>
    </w:p>
    <w:p>
      <w:pPr>
        <w:pStyle w:val="ListBullet"/>
      </w:pPr>
      <w:r>
        <w:t>Resume Intelligence &amp; Matching</w:t>
      </w:r>
    </w:p>
    <w:p>
      <w:pPr>
        <w:pStyle w:val="ListBullet"/>
      </w:pPr>
      <w:r>
        <w:t>Assessment Strategy</w:t>
      </w:r>
    </w:p>
    <w:p>
      <w:pPr>
        <w:pStyle w:val="ListBullet"/>
      </w:pPr>
      <w:r>
        <w:t>Candidate Invitations</w:t>
      </w:r>
    </w:p>
    <w:p>
      <w:pPr>
        <w:pStyle w:val="ListBullet"/>
      </w:pPr>
      <w:r>
        <w:t>Assessment Scheduling</w:t>
      </w:r>
    </w:p>
    <w:p>
      <w:pPr>
        <w:pStyle w:val="Heading2"/>
      </w:pPr>
      <w:r>
        <w:t>TAO Assess</w:t>
      </w:r>
    </w:p>
    <w:p>
      <w:r>
        <w:t>Mission: Evaluate technical competency through AI-driven assessments and produce trustworthy, evidence-based recommendations.</w:t>
      </w:r>
    </w:p>
    <w:p>
      <w:pPr>
        <w:pStyle w:val="ListBullet"/>
      </w:pPr>
      <w:r>
        <w:t>Assessment Sessions</w:t>
      </w:r>
    </w:p>
    <w:p>
      <w:pPr>
        <w:pStyle w:val="ListBullet"/>
      </w:pPr>
      <w:r>
        <w:t>AI Interview Orchestration</w:t>
      </w:r>
    </w:p>
    <w:p>
      <w:pPr>
        <w:pStyle w:val="ListBullet"/>
      </w:pPr>
      <w:r>
        <w:t>Question Generation</w:t>
      </w:r>
    </w:p>
    <w:p>
      <w:pPr>
        <w:pStyle w:val="ListBullet"/>
      </w:pPr>
      <w:r>
        <w:t>Candidate Evaluation</w:t>
      </w:r>
    </w:p>
    <w:p>
      <w:pPr>
        <w:pStyle w:val="ListBullet"/>
      </w:pPr>
      <w:r>
        <w:t>Assessment Reports</w:t>
      </w:r>
    </w:p>
    <w:p>
      <w:pPr>
        <w:pStyle w:val="ListBullet"/>
      </w:pPr>
      <w:r>
        <w:t>Assessment Audit</w:t>
      </w:r>
    </w:p>
    <w:p>
      <w:pPr>
        <w:pStyle w:val="Heading1"/>
      </w:pPr>
      <w:r>
        <w:t>4. Ownership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Business Capability</w:t>
            </w:r>
          </w:p>
        </w:tc>
        <w:tc>
          <w:tcPr>
            <w:tcW w:type="dxa" w:w="2160"/>
          </w:tcPr>
          <w:p>
            <w:r>
              <w:t>Acquire</w:t>
            </w:r>
          </w:p>
        </w:tc>
        <w:tc>
          <w:tcPr>
            <w:tcW w:type="dxa" w:w="2160"/>
          </w:tcPr>
          <w:p>
            <w:r>
              <w:t>Assess</w:t>
            </w:r>
          </w:p>
        </w:tc>
        <w:tc>
          <w:tcPr>
            <w:tcW w:type="dxa" w:w="2160"/>
          </w:tcPr>
          <w:p>
            <w:r>
              <w:t>Shared/Platform</w:t>
            </w:r>
          </w:p>
        </w:tc>
      </w:tr>
      <w:tr>
        <w:tc>
          <w:tcPr>
            <w:tcW w:type="dxa" w:w="2160"/>
          </w:tcPr>
          <w:p>
            <w:r>
              <w:t>Campaign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 Profile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Resume Matching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Assessment Strategy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Read Only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Assessment Invitation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Assessment Session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Question Generation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AI Interview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Assessment Report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Organization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Shared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Shared</w:t>
            </w:r>
          </w:p>
        </w:tc>
      </w:tr>
      <w:tr>
        <w:tc>
          <w:tcPr>
            <w:tcW w:type="dxa" w:w="2160"/>
          </w:tcPr>
          <w:p>
            <w:r>
              <w:t>Candidate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Shared Identity</w:t>
            </w:r>
          </w:p>
        </w:tc>
      </w:tr>
      <w:tr>
        <w:tc>
          <w:tcPr>
            <w:tcW w:type="dxa" w:w="2160"/>
          </w:tcPr>
          <w:p>
            <w:r>
              <w:t>LLM Provider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TAO.AI</w:t>
            </w:r>
          </w:p>
        </w:tc>
      </w:tr>
      <w:tr>
        <w:tc>
          <w:tcPr>
            <w:tcW w:type="dxa" w:w="2160"/>
          </w:tcPr>
          <w:p>
            <w:r>
              <w:t>Prompt Infrastructure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TAO.AI</w:t>
            </w:r>
          </w:p>
        </w:tc>
      </w:tr>
    </w:tbl>
    <w:p>
      <w:pPr>
        <w:pStyle w:val="Heading1"/>
      </w:pPr>
      <w:r>
        <w:t>5. Product Communication Rules</w:t>
      </w:r>
    </w:p>
    <w:p>
      <w:pPr>
        <w:pStyle w:val="ListBullet"/>
      </w:pPr>
      <w:r>
        <w:t>TAO Acquire may initiate TAO Assess workflows.</w:t>
      </w:r>
    </w:p>
    <w:p>
      <w:pPr>
        <w:pStyle w:val="ListBullet"/>
      </w:pPr>
      <w:r>
        <w:t>TAO Assess must never implement recruitment logic.</w:t>
      </w:r>
    </w:p>
    <w:p>
      <w:pPr>
        <w:pStyle w:val="ListBullet"/>
      </w:pPr>
      <w:r>
        <w:t>Products communicate only through contracts or abstractions.</w:t>
      </w:r>
    </w:p>
    <w:p>
      <w:pPr>
        <w:pStyle w:val="ListBullet"/>
      </w:pPr>
      <w:r>
        <w:t>Cross-product database access is prohibited.</w:t>
      </w:r>
    </w:p>
    <w:p>
      <w:pPr>
        <w:pStyle w:val="ListBullet"/>
      </w:pPr>
      <w:r>
        <w:t>Business rules remain within the owning product.</w:t>
      </w:r>
    </w:p>
    <w:p>
      <w:pPr>
        <w:pStyle w:val="Heading1"/>
      </w:pPr>
      <w:r>
        <w:t>6. Shared Platform Responsibilities</w:t>
      </w:r>
    </w:p>
    <w:p>
      <w:pPr>
        <w:pStyle w:val="ListBullet"/>
      </w:pPr>
      <w:r>
        <w:t>Authentication &amp; Authorization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Users</w:t>
      </w:r>
    </w:p>
    <w:p>
      <w:pPr>
        <w:pStyle w:val="ListBullet"/>
      </w:pPr>
      <w:r>
        <w:t>Candidate Identity</w:t>
      </w:r>
    </w:p>
    <w:p>
      <w:pPr>
        <w:pStyle w:val="ListBullet"/>
      </w:pPr>
      <w:r>
        <w:t>LLM Provider Abstraction</w:t>
      </w:r>
    </w:p>
    <w:p>
      <w:pPr>
        <w:pStyle w:val="ListBullet"/>
      </w:pPr>
      <w:r>
        <w:t>Shared Technical Building Blocks</w:t>
      </w:r>
    </w:p>
    <w:p>
      <w:pPr>
        <w:pStyle w:val="Heading1"/>
      </w:pPr>
      <w:r>
        <w:t>7. Database Ownership</w:t>
      </w:r>
    </w:p>
    <w:p>
      <w:r>
        <w:t>Each product owns its own data, even when a single database is used for the MVP.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TAO Acquire</w:t>
            </w:r>
          </w:p>
        </w:tc>
        <w:tc>
          <w:tcPr>
            <w:tcW w:type="dxa" w:w="4320"/>
          </w:tcPr>
          <w:p>
            <w:r>
              <w:t>TAO Assess</w:t>
            </w:r>
          </w:p>
        </w:tc>
      </w:tr>
      <w:tr>
        <w:tc>
          <w:tcPr>
            <w:tcW w:type="dxa" w:w="4320"/>
          </w:tcPr>
          <w:p>
            <w:r>
              <w:t>Campaigns</w:t>
              <w:br/>
              <w:t>Job Profiles</w:t>
              <w:br/>
              <w:t>Resumes</w:t>
              <w:br/>
              <w:t>Strategies</w:t>
              <w:br/>
              <w:t>Invitations</w:t>
            </w:r>
          </w:p>
        </w:tc>
        <w:tc>
          <w:tcPr>
            <w:tcW w:type="dxa" w:w="4320"/>
          </w:tcPr>
          <w:p>
            <w:r>
              <w:t>Assessment Sessions</w:t>
              <w:br/>
              <w:t>Questions</w:t>
              <w:br/>
              <w:t>Responses</w:t>
              <w:br/>
              <w:t>Reports</w:t>
              <w:br/>
              <w:t>Audits</w:t>
            </w:r>
          </w:p>
        </w:tc>
      </w:tr>
    </w:tbl>
    <w:p>
      <w:pPr>
        <w:pStyle w:val="Heading1"/>
      </w:pPr>
      <w:r>
        <w:t>8. Commercial Deployment Modes</w:t>
      </w:r>
    </w:p>
    <w:p>
      <w:pPr>
        <w:pStyle w:val="ListBullet"/>
      </w:pPr>
      <w:r>
        <w:t>Mode 1 – TAO Acquire only.</w:t>
      </w:r>
    </w:p>
    <w:p>
      <w:pPr>
        <w:pStyle w:val="ListBullet"/>
      </w:pPr>
      <w:r>
        <w:t>Mode 2 – TAO Assess only.</w:t>
      </w:r>
    </w:p>
    <w:p>
      <w:pPr>
        <w:pStyle w:val="ListBullet"/>
      </w:pPr>
      <w:r>
        <w:t>Mode 3 – Complete TAO Platform (Acquire → Assess).</w:t>
      </w:r>
    </w:p>
    <w:p>
      <w:pPr>
        <w:pStyle w:val="Heading1"/>
      </w:pPr>
      <w:r>
        <w:t>9. MVP vs Post-MVP</w:t>
      </w:r>
    </w:p>
    <w:p>
      <w:r>
        <w:t>MVP: Single solution, single deployment, single database with strict logical boundaries.</w:t>
      </w:r>
    </w:p>
    <w:p>
      <w:r>
        <w:t>Post-MVP: Independent deployment pipelines, optional database separation and product-specific scaling.</w:t>
      </w:r>
    </w:p>
    <w:p>
      <w:pPr>
        <w:pStyle w:val="Heading1"/>
      </w:pPr>
      <w:r>
        <w:t>10. Developer Checklist</w:t>
      </w:r>
    </w:p>
    <w:p>
      <w:pPr>
        <w:pStyle w:val="ListBullet"/>
      </w:pPr>
      <w:r>
        <w:t>Which product owns this capability?</w:t>
      </w:r>
    </w:p>
    <w:p>
      <w:pPr>
        <w:pStyle w:val="ListBullet"/>
      </w:pPr>
      <w:r>
        <w:t>Does another product already own it?</w:t>
      </w:r>
    </w:p>
    <w:p>
      <w:pPr>
        <w:pStyle w:val="ListBullet"/>
      </w:pPr>
      <w:r>
        <w:t>Is this infrastructure rather than business logic?</w:t>
      </w:r>
    </w:p>
    <w:p>
      <w:pPr>
        <w:pStyle w:val="ListBullet"/>
      </w:pPr>
      <w:r>
        <w:t>Will this introduce an unnecessary dependency?</w:t>
      </w:r>
    </w:p>
    <w:p>
      <w:pPr>
        <w:pStyle w:val="ListBullet"/>
      </w:pPr>
      <w:r>
        <w:t>Can this product still be sold independently after this change?</w:t>
      </w:r>
    </w:p>
    <w:p>
      <w:pPr>
        <w:pStyle w:val="Heading1"/>
      </w:pPr>
      <w:r>
        <w:t>11. Core Architectural Principle</w:t>
      </w:r>
    </w:p>
    <w:p>
      <w:r>
        <w:t>Every business capability must have exactly one owner. Shared projects provide infrastructure and technical building blocks, but business ownership always belongs to a single product.</w:t>
      </w:r>
    </w:p>
    <w:p>
      <w:pPr>
        <w:pStyle w:val="Heading1"/>
      </w:pPr>
      <w:r>
        <w:t>12. Related Documents</w:t>
      </w:r>
    </w:p>
    <w:p>
      <w:r>
        <w:t>Related: EH-001, EH-002, SDD-001, SDD-003, SDD-005 and ADR-001.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