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TAO Engineering Handbook</w:t>
      </w:r>
    </w:p>
    <w:p>
      <w:pPr>
        <w:jc w:val="center"/>
      </w:pPr>
      <w:r>
        <w:rPr>
          <w:b/>
          <w:sz w:val="32"/>
        </w:rPr>
        <w:t>EH-004 – Vertical Slice Development Guide</w:t>
        <w:br/>
      </w:r>
      <w:r>
        <w:t>Version 1.0 (MVP Baseline)</w:t>
      </w:r>
    </w:p>
    <w:p>
      <w:pPr>
        <w:pStyle w:val="Heading1"/>
      </w:pPr>
      <w:r>
        <w:t>1. Purpose</w:t>
      </w:r>
    </w:p>
    <w:p>
      <w:r>
        <w:t>This handbook defines the development standard for implementing features in TAO using Vertical Slice Architecture. Every developer should follow this guide to ensure that features are consistent, maintainable and easy to understand.</w:t>
      </w:r>
    </w:p>
    <w:p>
      <w:pPr>
        <w:pStyle w:val="Heading1"/>
      </w:pPr>
      <w:r>
        <w:t>2. Why Vertical Slice?</w:t>
      </w:r>
    </w:p>
    <w:p>
      <w:r>
        <w:t>TAO adopts Vertical Slice Architecture because features are the primary unit of change. Each feature owns its request, validation, orchestration and persistence, reducing coupling and making it easier to reason about the codebase.</w:t>
      </w:r>
    </w:p>
    <w:p>
      <w:pPr>
        <w:pStyle w:val="Heading1"/>
      </w:pPr>
      <w:r>
        <w:t>3. Development Principles</w:t>
      </w:r>
    </w:p>
    <w:p>
      <w:pPr>
        <w:pStyle w:val="ListBullet"/>
      </w:pPr>
      <w:r>
        <w:t>A feature is the smallest deployable unit of business capability.</w:t>
      </w:r>
    </w:p>
    <w:p>
      <w:pPr>
        <w:pStyle w:val="ListBullet"/>
      </w:pPr>
      <w:r>
        <w:t>Everything needed to understand a feature should exist within its folder.</w:t>
      </w:r>
    </w:p>
    <w:p>
      <w:pPr>
        <w:pStyle w:val="ListBullet"/>
      </w:pPr>
      <w:r>
        <w:t>Business rules belong to the Domain.</w:t>
      </w:r>
    </w:p>
    <w:p>
      <w:pPr>
        <w:pStyle w:val="ListBullet"/>
      </w:pPr>
      <w:r>
        <w:t>Handlers coordinate work; they do not contain business rules.</w:t>
      </w:r>
    </w:p>
    <w:p>
      <w:pPr>
        <w:pStyle w:val="ListBullet"/>
      </w:pPr>
      <w:r>
        <w:t>Validation occurs before business execution.</w:t>
      </w:r>
    </w:p>
    <w:p>
      <w:pPr>
        <w:pStyle w:val="ListBullet"/>
      </w:pPr>
      <w:r>
        <w:t>Every feature should be independently testable.</w:t>
      </w:r>
    </w:p>
    <w:p>
      <w:pPr>
        <w:pStyle w:val="Heading1"/>
      </w:pPr>
      <w:r>
        <w:t>4. Standard Feature Layout</w:t>
      </w:r>
    </w:p>
    <w:p>
      <w:r>
        <w:t>Example:</w:t>
        <w:br/>
        <w:br/>
        <w:t>StartAssessment/</w:t>
        <w:br/>
        <w:t>├── Command.cs</w:t>
        <w:br/>
        <w:t>├── CommandValidator.cs</w:t>
        <w:br/>
        <w:t>├── Handler.cs</w:t>
        <w:br/>
        <w:t>├── Endpoint.cs</w:t>
        <w:br/>
        <w:t>├── Request.cs</w:t>
        <w:br/>
        <w:t>├── Response.cs</w:t>
        <w:br/>
        <w:t>├── Mapping.cs</w:t>
        <w:br/>
        <w:t>├── DomainEvents.cs (optional)</w:t>
        <w:br/>
        <w:t>└── Tests/</w:t>
        <w:br/>
      </w:r>
    </w:p>
    <w:p>
      <w:pPr>
        <w:pStyle w:val="Heading1"/>
      </w:pPr>
      <w:r>
        <w:t>5. Standard Request Flow</w:t>
      </w:r>
    </w:p>
    <w:p>
      <w:r>
        <w:t>Angular Client</w:t>
        <w:br/>
        <w:t xml:space="preserve">        ↓</w:t>
        <w:br/>
        <w:t>REST Endpoint</w:t>
        <w:br/>
        <w:t xml:space="preserve">        ↓</w:t>
        <w:br/>
        <w:t>Command / Query</w:t>
        <w:br/>
        <w:t xml:space="preserve">        ↓</w:t>
        <w:br/>
        <w:t>Validator</w:t>
        <w:br/>
        <w:t xml:space="preserve">        ↓</w:t>
        <w:br/>
        <w:t>Handler</w:t>
        <w:br/>
        <w:t xml:space="preserve">        ↓</w:t>
        <w:br/>
        <w:t>Domain</w:t>
        <w:br/>
        <w:t xml:space="preserve">        ↓</w:t>
        <w:br/>
        <w:t>Repository</w:t>
        <w:br/>
        <w:t xml:space="preserve">        ↓</w:t>
        <w:br/>
        <w:t>Database</w:t>
        <w:br/>
      </w:r>
    </w:p>
    <w:p>
      <w:pPr>
        <w:pStyle w:val="Heading1"/>
      </w:pPr>
      <w:r>
        <w:t>6. Commands vs Queries</w:t>
      </w:r>
    </w:p>
    <w:tbl>
      <w:tblPr>
        <w:tblStyle w:val="TableGrid"/>
        <w:tblW w:type="auto" w:w="0"/>
        <w:tblLook w:firstColumn="1" w:firstRow="1" w:lastColumn="0" w:lastRow="0" w:noHBand="0" w:noVBand="1" w:val="04A0"/>
      </w:tblPr>
      <w:tblGrid>
        <w:gridCol w:w="2880"/>
        <w:gridCol w:w="2880"/>
        <w:gridCol w:w="2880"/>
      </w:tblGrid>
      <w:tr>
        <w:tc>
          <w:tcPr>
            <w:tcW w:type="dxa" w:w="2880"/>
          </w:tcPr>
          <w:p>
            <w:r>
              <w:t>Type</w:t>
            </w:r>
          </w:p>
        </w:tc>
        <w:tc>
          <w:tcPr>
            <w:tcW w:type="dxa" w:w="2880"/>
          </w:tcPr>
          <w:p>
            <w:r>
              <w:t>Purpose</w:t>
            </w:r>
          </w:p>
        </w:tc>
        <w:tc>
          <w:tcPr>
            <w:tcW w:type="dxa" w:w="2880"/>
          </w:tcPr>
          <w:p>
            <w:r>
              <w:t>Example</w:t>
            </w:r>
          </w:p>
        </w:tc>
      </w:tr>
      <w:tr>
        <w:tc>
          <w:tcPr>
            <w:tcW w:type="dxa" w:w="2880"/>
          </w:tcPr>
          <w:p>
            <w:r>
              <w:t>Command</w:t>
            </w:r>
          </w:p>
        </w:tc>
        <w:tc>
          <w:tcPr>
            <w:tcW w:type="dxa" w:w="2880"/>
          </w:tcPr>
          <w:p>
            <w:r>
              <w:t>Changes business state</w:t>
            </w:r>
          </w:p>
        </w:tc>
        <w:tc>
          <w:tcPr>
            <w:tcW w:type="dxa" w:w="2880"/>
          </w:tcPr>
          <w:p>
            <w:r>
              <w:t>StartAssessmentCommand</w:t>
            </w:r>
          </w:p>
        </w:tc>
      </w:tr>
      <w:tr>
        <w:tc>
          <w:tcPr>
            <w:tcW w:type="dxa" w:w="2880"/>
          </w:tcPr>
          <w:p>
            <w:r>
              <w:t>Query</w:t>
            </w:r>
          </w:p>
        </w:tc>
        <w:tc>
          <w:tcPr>
            <w:tcW w:type="dxa" w:w="2880"/>
          </w:tcPr>
          <w:p>
            <w:r>
              <w:t>Reads information only</w:t>
            </w:r>
          </w:p>
        </w:tc>
        <w:tc>
          <w:tcPr>
            <w:tcW w:type="dxa" w:w="2880"/>
          </w:tcPr>
          <w:p>
            <w:r>
              <w:t>GetAssessmentReportQuery</w:t>
            </w:r>
          </w:p>
        </w:tc>
      </w:tr>
    </w:tbl>
    <w:p>
      <w:pPr>
        <w:pStyle w:val="Heading1"/>
      </w:pPr>
      <w:r>
        <w:t>7. Handler Responsibilities</w:t>
      </w:r>
    </w:p>
    <w:p>
      <w:pPr>
        <w:pStyle w:val="ListBullet"/>
      </w:pPr>
      <w:r>
        <w:t>Coordinate domain objects and infrastructure.</w:t>
      </w:r>
    </w:p>
    <w:p>
      <w:pPr>
        <w:pStyle w:val="ListBullet"/>
      </w:pPr>
      <w:r>
        <w:t>Call repositories through abstractions.</w:t>
      </w:r>
    </w:p>
    <w:p>
      <w:pPr>
        <w:pStyle w:val="ListBullet"/>
      </w:pPr>
      <w:r>
        <w:t>Invoke AI orchestration services when required.</w:t>
      </w:r>
    </w:p>
    <w:p>
      <w:pPr>
        <w:pStyle w:val="ListBullet"/>
      </w:pPr>
      <w:r>
        <w:t>Return Result&lt;T&gt; or appropriate response models.</w:t>
      </w:r>
    </w:p>
    <w:p>
      <w:pPr>
        <w:pStyle w:val="ListBullet"/>
      </w:pPr>
      <w:r>
        <w:t>Never embed complex business rules.</w:t>
      </w:r>
    </w:p>
    <w:p>
      <w:pPr>
        <w:pStyle w:val="Heading1"/>
      </w:pPr>
      <w:r>
        <w:t>8. Validation Standard</w:t>
      </w:r>
    </w:p>
    <w:p>
      <w:pPr>
        <w:pStyle w:val="ListBullet"/>
      </w:pPr>
      <w:r>
        <w:t>All incoming requests require validators.</w:t>
      </w:r>
    </w:p>
    <w:p>
      <w:pPr>
        <w:pStyle w:val="ListBullet"/>
      </w:pPr>
      <w:r>
        <w:t>Reject invalid requests before reaching handlers.</w:t>
      </w:r>
    </w:p>
    <w:p>
      <w:pPr>
        <w:pStyle w:val="ListBullet"/>
      </w:pPr>
      <w:r>
        <w:t>Validation rules should be deterministic and fast.</w:t>
      </w:r>
    </w:p>
    <w:p>
      <w:pPr>
        <w:pStyle w:val="ListBullet"/>
      </w:pPr>
      <w:r>
        <w:t>Business invariants remain inside the domain model.</w:t>
      </w:r>
    </w:p>
    <w:p>
      <w:pPr>
        <w:pStyle w:val="Heading1"/>
      </w:pPr>
      <w:r>
        <w:t>9. AI Integration Standard</w:t>
      </w:r>
    </w:p>
    <w:p>
      <w:r>
        <w:t>Correct Flow:</w:t>
        <w:br/>
        <w:br/>
        <w:t>Handler</w:t>
        <w:br/>
        <w:t xml:space="preserve">   ↓</w:t>
        <w:br/>
        <w:t>Interview Orchestrator / Resume Matching Orchestrator</w:t>
        <w:br/>
        <w:t xml:space="preserve">   ↓</w:t>
        <w:br/>
        <w:t>ILLMProvider</w:t>
        <w:br/>
        <w:t xml:space="preserve">   ↓</w:t>
        <w:br/>
        <w:t>Configured AI Provider</w:t>
        <w:br/>
        <w:br/>
        <w:t>Direct SDK calls from handlers are prohibited.</w:t>
        <w:br/>
      </w:r>
    </w:p>
    <w:p>
      <w:pPr>
        <w:pStyle w:val="Heading1"/>
      </w:pPr>
      <w:r>
        <w:t>10. Repository Guidelines</w:t>
      </w:r>
    </w:p>
    <w:p>
      <w:pPr>
        <w:pStyle w:val="ListBullet"/>
      </w:pPr>
      <w:r>
        <w:t>One repository per Aggregate Root.</w:t>
      </w:r>
    </w:p>
    <w:p>
      <w:pPr>
        <w:pStyle w:val="ListBullet"/>
      </w:pPr>
      <w:r>
        <w:t>Avoid generic repositories.</w:t>
      </w:r>
    </w:p>
    <w:p>
      <w:pPr>
        <w:pStyle w:val="ListBullet"/>
      </w:pPr>
      <w:r>
        <w:t>Repositories encapsulate persistence concerns only.</w:t>
      </w:r>
    </w:p>
    <w:p>
      <w:pPr>
        <w:pStyle w:val="ListBullet"/>
      </w:pPr>
      <w:r>
        <w:t>Repositories must not contain business rules.</w:t>
      </w:r>
    </w:p>
    <w:p>
      <w:pPr>
        <w:pStyle w:val="Heading1"/>
      </w:pPr>
      <w:r>
        <w:t>11. Mapping Guidelines</w:t>
      </w:r>
    </w:p>
    <w:p>
      <w:pPr>
        <w:pStyle w:val="ListBullet"/>
      </w:pPr>
      <w:r>
        <w:t>Map Request → Domain → Response.</w:t>
      </w:r>
    </w:p>
    <w:p>
      <w:pPr>
        <w:pStyle w:val="ListBullet"/>
      </w:pPr>
      <w:r>
        <w:t>Do not expose persistence entities through APIs.</w:t>
      </w:r>
    </w:p>
    <w:p>
      <w:pPr>
        <w:pStyle w:val="ListBullet"/>
      </w:pPr>
      <w:r>
        <w:t>Keep mapping logic simple and testable.</w:t>
      </w:r>
    </w:p>
    <w:p>
      <w:pPr>
        <w:pStyle w:val="Heading1"/>
      </w:pPr>
      <w:r>
        <w:t>12. Feature Development Checklist</w:t>
      </w:r>
    </w:p>
    <w:p>
      <w:pPr>
        <w:pStyle w:val="ListBullet"/>
      </w:pPr>
      <w:r>
        <w:t>Correct product selected (Acquire/Assess).</w:t>
      </w:r>
    </w:p>
    <w:p>
      <w:pPr>
        <w:pStyle w:val="ListBullet"/>
      </w:pPr>
      <w:r>
        <w:t>Feature follows Vertical Slice structure.</w:t>
      </w:r>
    </w:p>
    <w:p>
      <w:pPr>
        <w:pStyle w:val="ListBullet"/>
      </w:pPr>
      <w:r>
        <w:t>Validator implemented.</w:t>
      </w:r>
    </w:p>
    <w:p>
      <w:pPr>
        <w:pStyle w:val="ListBullet"/>
      </w:pPr>
      <w:r>
        <w:t>Business rules located in the domain.</w:t>
      </w:r>
    </w:p>
    <w:p>
      <w:pPr>
        <w:pStyle w:val="ListBullet"/>
      </w:pPr>
      <w:r>
        <w:t>AI accessed only through orchestrators.</w:t>
      </w:r>
    </w:p>
    <w:p>
      <w:pPr>
        <w:pStyle w:val="ListBullet"/>
      </w:pPr>
      <w:r>
        <w:t>Repository uses aggregate root.</w:t>
      </w:r>
    </w:p>
    <w:p>
      <w:pPr>
        <w:pStyle w:val="ListBullet"/>
      </w:pPr>
      <w:r>
        <w:t>Unit tests added.</w:t>
      </w:r>
    </w:p>
    <w:p>
      <w:pPr>
        <w:pStyle w:val="ListBullet"/>
      </w:pPr>
      <w:r>
        <w:t>Structured logging included.</w:t>
      </w:r>
    </w:p>
    <w:p>
      <w:pPr>
        <w:pStyle w:val="ListBullet"/>
      </w:pPr>
      <w:r>
        <w:t>Error handling implemented.</w:t>
      </w:r>
    </w:p>
    <w:p>
      <w:pPr>
        <w:pStyle w:val="Heading1"/>
      </w:pPr>
      <w:r>
        <w:t>13. Code Review Checklist</w:t>
      </w:r>
    </w:p>
    <w:p>
      <w:pPr>
        <w:pStyle w:val="ListBullet"/>
      </w:pPr>
      <w:r>
        <w:t>Is the feature self-contained?</w:t>
      </w:r>
    </w:p>
    <w:p>
      <w:pPr>
        <w:pStyle w:val="ListBullet"/>
      </w:pPr>
      <w:r>
        <w:t>Are naming conventions followed?</w:t>
      </w:r>
    </w:p>
    <w:p>
      <w:pPr>
        <w:pStyle w:val="ListBullet"/>
      </w:pPr>
      <w:r>
        <w:t>Is there unnecessary coupling?</w:t>
      </w:r>
    </w:p>
    <w:p>
      <w:pPr>
        <w:pStyle w:val="ListBullet"/>
      </w:pPr>
      <w:r>
        <w:t>Does the handler remain thin?</w:t>
      </w:r>
    </w:p>
    <w:p>
      <w:pPr>
        <w:pStyle w:val="ListBullet"/>
      </w:pPr>
      <w:r>
        <w:t>Are dependencies injected through abstractions?</w:t>
      </w:r>
    </w:p>
    <w:p>
      <w:pPr>
        <w:pStyle w:val="ListBullet"/>
      </w:pPr>
      <w:r>
        <w:t>Are future extension points preserved?</w:t>
      </w:r>
    </w:p>
    <w:p>
      <w:pPr>
        <w:pStyle w:val="Heading1"/>
      </w:pPr>
      <w:r>
        <w:t>14. Common Anti-Patterns</w:t>
      </w:r>
    </w:p>
    <w:p>
      <w:pPr>
        <w:pStyle w:val="ListBullet"/>
      </w:pPr>
      <w:r>
        <w:t>Business logic inside controllers or endpoints.</w:t>
      </w:r>
    </w:p>
    <w:p>
      <w:pPr>
        <w:pStyle w:val="ListBullet"/>
      </w:pPr>
      <w:r>
        <w:t>Direct LLM SDK calls from handlers.</w:t>
      </w:r>
    </w:p>
    <w:p>
      <w:pPr>
        <w:pStyle w:val="ListBullet"/>
      </w:pPr>
      <w:r>
        <w:t>Generic helper classes for domain logic.</w:t>
      </w:r>
    </w:p>
    <w:p>
      <w:pPr>
        <w:pStyle w:val="ListBullet"/>
      </w:pPr>
      <w:r>
        <w:t>Large shared utility projects containing business code.</w:t>
      </w:r>
    </w:p>
    <w:p>
      <w:pPr>
        <w:pStyle w:val="ListBullet"/>
      </w:pPr>
      <w:r>
        <w:t>Cross-product references between TAO Acquire and TAO Assess.</w:t>
      </w:r>
    </w:p>
    <w:p>
      <w:pPr>
        <w:pStyle w:val="Heading1"/>
      </w:pPr>
      <w:r>
        <w:t>15. MVP Decision</w:t>
      </w:r>
    </w:p>
    <w:p>
      <w:r>
        <w:t>The MVP prioritizes consistency over optimization. Every new feature must follow the same Vertical Slice pattern, even if it appears simple.</w:t>
      </w:r>
    </w:p>
    <w:p>
      <w:pPr>
        <w:pStyle w:val="Heading1"/>
      </w:pPr>
      <w:r>
        <w:t>16. Post-MVP Evolution</w:t>
      </w:r>
    </w:p>
    <w:p>
      <w:pPr>
        <w:pStyle w:val="ListBullet"/>
      </w:pPr>
      <w:r>
        <w:t>Background job orchestration.</w:t>
      </w:r>
    </w:p>
    <w:p>
      <w:pPr>
        <w:pStyle w:val="ListBullet"/>
      </w:pPr>
      <w:r>
        <w:t>Domain event processing.</w:t>
      </w:r>
    </w:p>
    <w:p>
      <w:pPr>
        <w:pStyle w:val="ListBullet"/>
      </w:pPr>
      <w:r>
        <w:t>Workflow engine integration.</w:t>
      </w:r>
    </w:p>
    <w:p>
      <w:pPr>
        <w:pStyle w:val="ListBullet"/>
      </w:pPr>
      <w:r>
        <w:t>Distributed messaging.</w:t>
      </w:r>
    </w:p>
    <w:p>
      <w:pPr>
        <w:pStyle w:val="ListBullet"/>
      </w:pPr>
      <w:r>
        <w:t>Independent module deployment.</w:t>
      </w:r>
    </w:p>
    <w:p>
      <w:pPr>
        <w:pStyle w:val="Heading1"/>
      </w:pPr>
      <w:r>
        <w:t>17. Related Documents</w:t>
      </w:r>
    </w:p>
    <w:p>
      <w:r>
        <w:t>EH-001, EH-002, EH-003, SDD-001, SDD-002, SDD-005 and ADR-001.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