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Architecture Baseline v1.0</w:t>
      </w:r>
    </w:p>
    <w:p>
      <w:r>
        <w:t>Status: Frozen MVP Baseline</w:t>
        <w:br/>
        <w:br/>
        <w:t>Purpose</w:t>
        <w:br/>
        <w:t>This document defines the agreed architectural baseline for TAO Acquire MVP. All implementation should conform to this baseline unless superseded by an approved ADR.</w:t>
      </w:r>
    </w:p>
    <w:p>
      <w:pPr>
        <w:pStyle w:val="Heading2"/>
      </w:pPr>
      <w:r>
        <w:t>1. Scope</w:t>
      </w:r>
    </w:p>
    <w:p>
      <w:pPr>
        <w:pStyle w:val="ListBullet"/>
      </w:pPr>
      <w:r>
        <w:t>In Scope: Domain, Infrastructure, Application, API</w:t>
      </w:r>
    </w:p>
    <w:p>
      <w:pPr>
        <w:pStyle w:val="ListBullet"/>
      </w:pPr>
      <w:r>
        <w:t>Out of Scope: Angular implementation details, Prompt Engineering, Deployment</w:t>
      </w:r>
    </w:p>
    <w:p>
      <w:pPr>
        <w:pStyle w:val="Heading2"/>
      </w:pPr>
      <w:r>
        <w:t>2. Architectural Principles</w:t>
      </w:r>
    </w:p>
    <w:p>
      <w:pPr>
        <w:pStyle w:val="ListBullet"/>
      </w:pPr>
      <w:r>
        <w:t>MVP First</w:t>
      </w:r>
    </w:p>
    <w:p>
      <w:pPr>
        <w:pStyle w:val="ListBullet"/>
      </w:pPr>
      <w:r>
        <w:t>Simplicity over Cleverness</w:t>
      </w:r>
    </w:p>
    <w:p>
      <w:pPr>
        <w:pStyle w:val="ListBullet"/>
      </w:pPr>
      <w:r>
        <w:t>Vertical Slice Architecture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SOLID</w:t>
      </w:r>
    </w:p>
    <w:p>
      <w:pPr>
        <w:pStyle w:val="ListBullet"/>
      </w:pPr>
      <w:r>
        <w:t>Explicit over Convention</w:t>
      </w:r>
    </w:p>
    <w:p>
      <w:pPr>
        <w:pStyle w:val="ListBullet"/>
      </w:pPr>
      <w:r>
        <w:t>Behavior over Setters</w:t>
      </w:r>
    </w:p>
    <w:p>
      <w:pPr>
        <w:pStyle w:val="ListBullet"/>
      </w:pPr>
      <w:r>
        <w:t>Provider-agnostic AI</w:t>
      </w:r>
    </w:p>
    <w:p>
      <w:pPr>
        <w:pStyle w:val="Heading2"/>
      </w:pPr>
      <w:r>
        <w:t>3. Technology Stack</w:t>
      </w:r>
    </w:p>
    <w:p>
      <w:pPr>
        <w:pStyle w:val="ListBullet"/>
      </w:pPr>
      <w:r>
        <w:t>.NET 9</w:t>
      </w:r>
    </w:p>
    <w:p>
      <w:pPr>
        <w:pStyle w:val="ListBullet"/>
      </w:pPr>
      <w:r>
        <w:t>ASP.NET Core Minimal APIs</w:t>
      </w:r>
    </w:p>
    <w:p>
      <w:pPr>
        <w:pStyle w:val="ListBullet"/>
      </w:pPr>
      <w:r>
        <w:t>C#</w:t>
      </w:r>
    </w:p>
    <w:p>
      <w:pPr>
        <w:pStyle w:val="ListBullet"/>
      </w:pPr>
      <w:r>
        <w:t>CQRS</w:t>
      </w:r>
    </w:p>
    <w:p>
      <w:pPr>
        <w:pStyle w:val="ListBullet"/>
      </w:pPr>
      <w:r>
        <w:t>Vertical Slice Architecture</w:t>
      </w:r>
    </w:p>
    <w:p>
      <w:pPr>
        <w:pStyle w:val="ListBullet"/>
      </w:pPr>
      <w:r>
        <w:t>EF Core</w:t>
      </w:r>
    </w:p>
    <w:p>
      <w:pPr>
        <w:pStyle w:val="ListBullet"/>
      </w:pPr>
      <w:r>
        <w:t>SQL Server</w:t>
      </w:r>
    </w:p>
    <w:p>
      <w:pPr>
        <w:pStyle w:val="ListBullet"/>
      </w:pPr>
      <w:r>
        <w:t>Angular</w:t>
      </w:r>
    </w:p>
    <w:p>
      <w:pPr>
        <w:pStyle w:val="ListBullet"/>
      </w:pPr>
      <w:r>
        <w:t>Docker</w:t>
      </w:r>
    </w:p>
    <w:p>
      <w:pPr>
        <w:pStyle w:val="ListBullet"/>
      </w:pPr>
      <w:r>
        <w:t>Ollama (MVP)</w:t>
      </w:r>
    </w:p>
    <w:p>
      <w:pPr>
        <w:pStyle w:val="Heading2"/>
      </w:pPr>
      <w:r>
        <w:t>4. Solution Structure</w:t>
      </w:r>
    </w:p>
    <w:p>
      <w:r>
        <w:t>TAO.Domain</w:t>
        <w:br/>
        <w:t>TAO.Application</w:t>
        <w:br/>
        <w:t>TAO.Infrastructure</w:t>
        <w:br/>
        <w:t>TAO.API</w:t>
        <w:br/>
        <w:t>TAO.Web</w:t>
      </w:r>
    </w:p>
    <w:p>
      <w:pPr>
        <w:pStyle w:val="Heading2"/>
      </w:pPr>
      <w:r>
        <w:t>5. Domain Standards</w:t>
      </w:r>
    </w:p>
    <w:p>
      <w:pPr>
        <w:pStyle w:val="ListBullet"/>
      </w:pPr>
      <w:r>
        <w:t>Entities are sealed classes.</w:t>
      </w:r>
    </w:p>
    <w:p>
      <w:pPr>
        <w:pStyle w:val="ListBullet"/>
      </w:pPr>
      <w:r>
        <w:t>Value Objects are sealed records.</w:t>
      </w:r>
    </w:p>
    <w:p>
      <w:pPr>
        <w:pStyle w:val="ListBullet"/>
      </w:pPr>
      <w:r>
        <w:t>Guid.CreateVersion7() generates identifiers.</w:t>
      </w:r>
    </w:p>
    <w:p>
      <w:pPr>
        <w:pStyle w:val="ListBullet"/>
      </w:pPr>
      <w:r>
        <w:t>No navigation properties.</w:t>
      </w:r>
    </w:p>
    <w:p>
      <w:pPr>
        <w:pStyle w:val="ListBullet"/>
      </w:pPr>
      <w:r>
        <w:t>Guard enforces invariants.</w:t>
      </w:r>
    </w:p>
    <w:p>
      <w:pPr>
        <w:pStyle w:val="ListBullet"/>
      </w:pPr>
      <w:r>
        <w:t>Immutable where practical.</w:t>
      </w:r>
    </w:p>
    <w:p>
      <w:pPr>
        <w:pStyle w:val="Heading2"/>
      </w:pPr>
      <w:r>
        <w:t>6. Aggregate Boundaries</w:t>
      </w:r>
    </w:p>
    <w:p>
      <w:r>
        <w:t>Campaign</w:t>
        <w:br/>
        <w:t xml:space="preserve"> ├─ JobProfile</w:t>
        <w:br/>
        <w:t xml:space="preserve"> ├─ HiringStrategy</w:t>
        <w:br/>
        <w:t xml:space="preserve"> ├─ ResumeImport</w:t>
        <w:br/>
        <w:t xml:space="preserve"> └─ Application</w:t>
        <w:br/>
        <w:t xml:space="preserve">      ├─ Resume</w:t>
        <w:br/>
        <w:t xml:space="preserve">      ├─ ResumeProfile</w:t>
        <w:br/>
        <w:t xml:space="preserve">      └─ ResumeScreening</w:t>
        <w:br/>
        <w:br/>
        <w:t>ResumeProfile and ResumeScreening reference ApplicationId.</w:t>
      </w:r>
    </w:p>
    <w:p>
      <w:pPr>
        <w:pStyle w:val="Heading2"/>
      </w:pPr>
      <w:r>
        <w:t>7. Infrastructure Standards</w:t>
      </w:r>
    </w:p>
    <w:p>
      <w:pPr>
        <w:pStyle w:val="ListBullet"/>
      </w:pPr>
      <w:r>
        <w:t>One IEntityTypeConfiguration per entity.</w:t>
      </w:r>
    </w:p>
    <w:p>
      <w:pPr>
        <w:pStyle w:val="ListBullet"/>
      </w:pPr>
      <w:r>
        <w:t>Fluent API only.</w:t>
      </w:r>
    </w:p>
    <w:p>
      <w:pPr>
        <w:pStyle w:val="ListBullet"/>
      </w:pPr>
      <w:r>
        <w:t>No DataAnnotations.</w:t>
      </w:r>
    </w:p>
    <w:p>
      <w:pPr>
        <w:pStyle w:val="ListBullet"/>
      </w:pPr>
      <w:r>
        <w:t>No DbSet properties.</w:t>
      </w:r>
    </w:p>
    <w:p>
      <w:pPr>
        <w:pStyle w:val="ListBullet"/>
      </w:pPr>
      <w:r>
        <w:t>ApplyConfigurationsFromAssembly().</w:t>
      </w:r>
    </w:p>
    <w:p>
      <w:pPr>
        <w:pStyle w:val="ListBullet"/>
      </w:pPr>
      <w:r>
        <w:t>ValueGeneratedNever().</w:t>
      </w:r>
    </w:p>
    <w:p>
      <w:pPr>
        <w:pStyle w:val="ListBullet"/>
      </w:pPr>
      <w:r>
        <w:t>datetime2(7).</w:t>
      </w:r>
    </w:p>
    <w:p>
      <w:pPr>
        <w:pStyle w:val="ListBullet"/>
      </w:pPr>
      <w:r>
        <w:t>DeleteBehavior.Restrict.</w:t>
      </w:r>
    </w:p>
    <w:p>
      <w:pPr>
        <w:pStyle w:val="ListBullet"/>
      </w:pPr>
      <w:r>
        <w:t>Enums stored as byte.</w:t>
      </w:r>
    </w:p>
    <w:p>
      <w:pPr>
        <w:pStyle w:val="ListBullet"/>
      </w:pPr>
      <w:r>
        <w:t>ValueConverters for Value Objects.</w:t>
      </w:r>
    </w:p>
    <w:p>
      <w:pPr>
        <w:pStyle w:val="Heading2"/>
      </w:pPr>
      <w:r>
        <w:t>8. Frozen Decisions</w:t>
      </w:r>
    </w:p>
    <w:p>
      <w:pPr>
        <w:pStyle w:val="ListBullet"/>
      </w:pPr>
      <w:r>
        <w:t>Campaign uses RecruiterId.</w:t>
      </w:r>
    </w:p>
    <w:p>
      <w:pPr>
        <w:pStyle w:val="ListBullet"/>
      </w:pPr>
      <w:r>
        <w:t>Application owns Resume, ResumeProfile and ResumeScreening.</w:t>
      </w:r>
    </w:p>
    <w:p>
      <w:pPr>
        <w:pStyle w:val="ListBullet"/>
      </w:pPr>
      <w:r>
        <w:t>ResumeProfile uses ApplicationId.</w:t>
      </w:r>
    </w:p>
    <w:p>
      <w:pPr>
        <w:pStyle w:val="ListBullet"/>
      </w:pPr>
      <w:r>
        <w:t>ResumeScreening uses ApplicationId.</w:t>
      </w:r>
    </w:p>
    <w:p>
      <w:pPr>
        <w:pStyle w:val="ListBullet"/>
      </w:pPr>
      <w:r>
        <w:t>Application stores OverallMatchPercentage as byte.</w:t>
      </w:r>
    </w:p>
    <w:p>
      <w:pPr>
        <w:pStyle w:val="ListBullet"/>
      </w:pPr>
      <w:r>
        <w:t>ResumeImport excludes ImportedBy, StartedOn and CompletedOn.</w:t>
      </w:r>
    </w:p>
    <w:p>
      <w:pPr>
        <w:pStyle w:val="ListBullet"/>
      </w:pPr>
      <w:r>
        <w:t>ResumeImportFailure stores FileName.</w:t>
      </w:r>
    </w:p>
    <w:p>
      <w:pPr>
        <w:pStyle w:val="Heading2"/>
      </w:pPr>
      <w:r>
        <w:t>9. Deferred Decisions</w:t>
      </w:r>
    </w:p>
    <w:p>
      <w:pPr>
        <w:pStyle w:val="ListBullet"/>
      </w:pPr>
      <w:r>
        <w:t>Domain Events</w:t>
      </w:r>
    </w:p>
    <w:p>
      <w:pPr>
        <w:pStyle w:val="ListBullet"/>
      </w:pPr>
      <w:r>
        <w:t>Outbox Pattern</w:t>
      </w:r>
    </w:p>
    <w:p>
      <w:pPr>
        <w:pStyle w:val="ListBullet"/>
      </w:pPr>
      <w:r>
        <w:t>Soft Delete</w:t>
      </w:r>
    </w:p>
    <w:p>
      <w:pPr>
        <w:pStyle w:val="ListBullet"/>
      </w:pPr>
      <w:r>
        <w:t>Blob Storage</w:t>
      </w:r>
    </w:p>
    <w:p>
      <w:pPr>
        <w:pStyle w:val="ListBullet"/>
      </w:pPr>
      <w:r>
        <w:t>Distributed Cache</w:t>
      </w:r>
    </w:p>
    <w:p>
      <w:pPr>
        <w:pStyle w:val="ListBullet"/>
      </w:pPr>
      <w:r>
        <w:t>Background Processing</w:t>
      </w:r>
    </w:p>
    <w:p>
      <w:pPr>
        <w:pStyle w:val="Heading2"/>
      </w:pPr>
      <w:r>
        <w:t>10. Governance</w:t>
      </w:r>
    </w:p>
    <w:p>
      <w:r>
        <w:t>Changes to this baseline require an approved architecture discussion and updates to ADR/PDD/ERM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2026-07-19</w:t>
            </w:r>
          </w:p>
        </w:tc>
        <w:tc>
          <w:tcPr>
            <w:tcW w:type="dxa" w:w="2880"/>
          </w:tcPr>
          <w:p>
            <w:r>
              <w:t>Initial frozen MVP architecture baseline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