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44"/>
        </w:rPr>
        <w:t>TAO Assess — Phase 1 Technical &amp; AI Design Baseline</w:t>
      </w:r>
    </w:p>
    <w:p>
      <w:pPr>
        <w:jc w:val="center"/>
      </w:pPr>
      <w:r>
        <w:rPr>
          <w:i/>
          <w:sz w:val="22"/>
        </w:rPr>
        <w:t>Domain model, persistence, AI orchestration, evaluation and implementation guidance — MVP</w:t>
      </w:r>
    </w:p>
    <w:p/>
    <w:p>
      <w:pPr>
        <w:pStyle w:val="Heading1"/>
      </w:pPr>
      <w:r>
        <w:t>1. Architectural Principles</w:t>
      </w:r>
    </w:p>
    <w:p>
      <w:pPr>
        <w:pStyle w:val="ListBullet"/>
      </w:pPr>
      <w:r>
        <w:t>Keep MVP simple, maintainable and production-oriented.</w:t>
      </w:r>
    </w:p>
    <w:p>
      <w:pPr>
        <w:pStyle w:val="ListBullet"/>
      </w:pPr>
      <w:r>
        <w:t>AI recommends and evaluates; the application controls business workflow.</w:t>
      </w:r>
    </w:p>
    <w:p>
      <w:pPr>
        <w:pStyle w:val="ListBullet"/>
      </w:pPr>
      <w:r>
        <w:t>Snapshot the approved strategy when the candidate accepts.</w:t>
      </w:r>
    </w:p>
    <w:p>
      <w:pPr>
        <w:pStyle w:val="ListBullet"/>
      </w:pPr>
      <w:r>
        <w:t>Persist meaningful state before exposing it so browser interruptions can be recovered.</w:t>
      </w:r>
    </w:p>
    <w:p>
      <w:pPr>
        <w:pStyle w:val="ListBullet"/>
      </w:pPr>
      <w:r>
        <w:t>Use deterministic application calculations for arithmetic.</w:t>
      </w:r>
    </w:p>
    <w:p>
      <w:pPr>
        <w:pStyle w:val="ListBullet"/>
      </w:pPr>
      <w:r>
        <w:t>Keep AI provider integration provider-agnostic and consistent with TAO Acquire.</w:t>
      </w:r>
    </w:p>
    <w:p>
      <w:pPr>
        <w:pStyle w:val="Heading1"/>
      </w:pPr>
      <w:r>
        <w:t>2. Logical Domain Model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4968"/>
            <w:shd w:fill="D9EAF7"/>
          </w:tcPr>
          <w:p>
            <w:r>
              <w:rPr>
                <w:b/>
                <w:sz w:val="18"/>
              </w:rPr>
              <w:t>Entity/Aggregate</w:t>
            </w:r>
          </w:p>
        </w:tc>
        <w:tc>
          <w:tcPr>
            <w:tcW w:type="dxa" w:w="4968"/>
            <w:shd w:fill="D9EAF7"/>
          </w:tcPr>
          <w:p>
            <w:r>
              <w:rPr>
                <w:b/>
                <w:sz w:val="18"/>
              </w:rPr>
              <w:t>Responsibility</w:t>
            </w:r>
          </w:p>
        </w:tc>
      </w:tr>
      <w:tr>
        <w:tc>
          <w:tcPr>
            <w:tcW w:type="dxa" w:w="4968"/>
            <w:vAlign w:val="center"/>
          </w:tcPr>
          <w:p>
            <w:r>
              <w:rPr>
                <w:sz w:val="18"/>
              </w:rPr>
              <w:t>AssessmentSession</w:t>
            </w:r>
          </w:p>
        </w:tc>
        <w:tc>
          <w:tcPr>
            <w:tcW w:type="dxa" w:w="4968"/>
            <w:vAlign w:val="center"/>
          </w:tcPr>
          <w:p>
            <w:r>
              <w:rPr>
                <w:sz w:val="18"/>
              </w:rPr>
              <w:t>Candidate's execution of an assessment; owns frozen strategy/evaluation-policy snapshot and lifecycle.</w:t>
            </w:r>
          </w:p>
        </w:tc>
      </w:tr>
      <w:tr>
        <w:tc>
          <w:tcPr>
            <w:tcW w:type="dxa" w:w="4968"/>
            <w:vAlign w:val="center"/>
          </w:tcPr>
          <w:p>
            <w:r>
              <w:rPr>
                <w:sz w:val="18"/>
              </w:rPr>
              <w:t>AssessmentRound</w:t>
            </w:r>
          </w:p>
        </w:tc>
        <w:tc>
          <w:tcPr>
            <w:tcW w:type="dxa" w:w="4968"/>
            <w:vAlign w:val="center"/>
          </w:tcPr>
          <w:p>
            <w:r>
              <w:rPr>
                <w:sz w:val="18"/>
              </w:rPr>
              <w:t>Executable round snapshot with configuration, status and evaluation.</w:t>
            </w:r>
          </w:p>
        </w:tc>
      </w:tr>
      <w:tr>
        <w:tc>
          <w:tcPr>
            <w:tcW w:type="dxa" w:w="4968"/>
            <w:vAlign w:val="center"/>
          </w:tcPr>
          <w:p>
            <w:r>
              <w:rPr>
                <w:sz w:val="18"/>
              </w:rPr>
              <w:t>AssessmentQuestion</w:t>
            </w:r>
          </w:p>
        </w:tc>
        <w:tc>
          <w:tcPr>
            <w:tcW w:type="dxa" w:w="4968"/>
            <w:vAlign w:val="center"/>
          </w:tcPr>
          <w:p>
            <w:r>
              <w:rPr>
                <w:sz w:val="18"/>
              </w:rPr>
              <w:t>Primary question, conversation/code response and question evaluation.</w:t>
            </w:r>
          </w:p>
        </w:tc>
      </w:tr>
      <w:tr>
        <w:tc>
          <w:tcPr>
            <w:tcW w:type="dxa" w:w="4968"/>
            <w:vAlign w:val="center"/>
          </w:tcPr>
          <w:p>
            <w:r>
              <w:rPr>
                <w:sz w:val="18"/>
              </w:rPr>
              <w:t>AssessmentResult</w:t>
            </w:r>
          </w:p>
        </w:tc>
        <w:tc>
          <w:tcPr>
            <w:tcW w:type="dxa" w:w="4968"/>
            <w:vAlign w:val="center"/>
          </w:tcPr>
          <w:p>
            <w:r>
              <w:rPr>
                <w:sz w:val="18"/>
              </w:rPr>
              <w:t>Final concluded assessment outcome and recruiter-facing result.</w:t>
            </w:r>
          </w:p>
        </w:tc>
      </w:tr>
      <w:tr>
        <w:tc>
          <w:tcPr>
            <w:tcW w:type="dxa" w:w="4968"/>
            <w:vAlign w:val="center"/>
          </w:tcPr>
          <w:p>
            <w:r>
              <w:rPr>
                <w:sz w:val="18"/>
              </w:rPr>
              <w:t>QuestionEvaluation</w:t>
            </w:r>
          </w:p>
        </w:tc>
        <w:tc>
          <w:tcPr>
            <w:tcW w:type="dxa" w:w="4968"/>
            <w:vAlign w:val="center"/>
          </w:tcPr>
          <w:p>
            <w:r>
              <w:rPr>
                <w:sz w:val="18"/>
              </w:rPr>
              <w:t>Structured evaluation for one primary question.</w:t>
            </w:r>
          </w:p>
        </w:tc>
      </w:tr>
      <w:tr>
        <w:tc>
          <w:tcPr>
            <w:tcW w:type="dxa" w:w="4968"/>
            <w:vAlign w:val="center"/>
          </w:tcPr>
          <w:p>
            <w:r>
              <w:rPr>
                <w:sz w:val="18"/>
              </w:rPr>
              <w:t>RoundEvaluation</w:t>
            </w:r>
          </w:p>
        </w:tc>
        <w:tc>
          <w:tcPr>
            <w:tcW w:type="dxa" w:w="4968"/>
            <w:vAlign w:val="center"/>
          </w:tcPr>
          <w:p>
            <w:r>
              <w:rPr>
                <w:sz w:val="18"/>
              </w:rPr>
              <w:t>Qualitative synthesis of question evaluations plus deterministic round score.</w:t>
            </w:r>
          </w:p>
        </w:tc>
      </w:tr>
      <w:tr>
        <w:tc>
          <w:tcPr>
            <w:tcW w:type="dxa" w:w="4968"/>
            <w:vAlign w:val="center"/>
          </w:tcPr>
          <w:p>
            <w:r>
              <w:rPr>
                <w:sz w:val="18"/>
              </w:rPr>
              <w:t>CompetencyEvaluation</w:t>
            </w:r>
          </w:p>
        </w:tc>
        <w:tc>
          <w:tcPr>
            <w:tcW w:type="dxa" w:w="4968"/>
            <w:vAlign w:val="center"/>
          </w:tcPr>
          <w:p>
            <w:r>
              <w:rPr>
                <w:sz w:val="18"/>
              </w:rPr>
              <w:t>Aggregated competency score; simple average for MVP.</w:t>
            </w:r>
          </w:p>
        </w:tc>
      </w:tr>
    </w:tbl>
    <w:p/>
    <w:p>
      <w:pPr>
        <w:pStyle w:val="Heading1"/>
      </w:pPr>
      <w:r>
        <w:t>3. AssessmentSession</w:t>
      </w:r>
    </w:p>
    <w:p>
      <w:pPr>
        <w:pStyle w:val="ListBullet"/>
      </w:pPr>
      <w:r>
        <w:t>Candidate/Application reference.</w:t>
      </w:r>
    </w:p>
    <w:p>
      <w:pPr>
        <w:pStyle w:val="ListBullet"/>
      </w:pPr>
      <w:r>
        <w:t>Frozen Assessment Strategy snapshot.</w:t>
      </w:r>
    </w:p>
    <w:p>
      <w:pPr>
        <w:pStyle w:val="ListBullet"/>
      </w:pPr>
      <w:r>
        <w:t>Frozen Evaluation Policy snapshot.</w:t>
      </w:r>
    </w:p>
    <w:p>
      <w:pPr>
        <w:pStyle w:val="ListBullet"/>
      </w:pPr>
      <w:r>
        <w:t>Session status.</w:t>
      </w:r>
    </w:p>
    <w:p>
      <w:pPr>
        <w:pStyle w:val="ListBullet"/>
      </w:pPr>
      <w:r>
        <w:t>Current round/question state.</w:t>
      </w:r>
    </w:p>
    <w:p>
      <w:pPr>
        <w:pStyle w:val="ListBullet"/>
      </w:pPr>
      <w:r>
        <w:t>Start/completion timestamps.</w:t>
      </w:r>
    </w:p>
    <w:p>
      <w:pPr>
        <w:pStyle w:val="ListBullet"/>
      </w:pPr>
      <w:r>
        <w:t>Interruption/resume state required by the one-chance MVP rule.</w:t>
      </w:r>
    </w:p>
    <w:p>
      <w:pPr>
        <w:pStyle w:val="ListBullet"/>
      </w:pPr>
      <w:r>
        <w:t>Assessment validity/expiry information.</w:t>
      </w:r>
    </w:p>
    <w:p>
      <w:pPr>
        <w:pStyle w:val="Heading1"/>
      </w:pPr>
      <w:r>
        <w:t>4. AssessmentRound</w:t>
      </w:r>
    </w:p>
    <w:p>
      <w:pPr>
        <w:pStyle w:val="ListBullet"/>
      </w:pPr>
      <w:r>
        <w:t>Order.</w:t>
      </w:r>
    </w:p>
    <w:p>
      <w:pPr>
        <w:pStyle w:val="ListBullet"/>
      </w:pPr>
      <w:r>
        <w:t>Type: DSA, Coding, TechnicalDiscussion, SystemDesign, AIRound.</w:t>
      </w:r>
    </w:p>
    <w:p>
      <w:pPr>
        <w:pStyle w:val="ListBullet"/>
      </w:pPr>
      <w:r>
        <w:t>Difficulty (internal only).</w:t>
      </w:r>
    </w:p>
    <w:p>
      <w:pPr>
        <w:pStyle w:val="ListBullet"/>
      </w:pPr>
      <w:r>
        <w:t>DurationInMinutes.</w:t>
      </w:r>
    </w:p>
    <w:p>
      <w:pPr>
        <w:pStyle w:val="ListBullet"/>
      </w:pPr>
      <w:r>
        <w:t>QuestionCount for primary questions.</w:t>
      </w:r>
    </w:p>
    <w:p>
      <w:pPr>
        <w:pStyle w:val="ListBullet"/>
      </w:pPr>
      <w:r>
        <w:t>Competencies and priority.</w:t>
      </w:r>
    </w:p>
    <w:p>
      <w:pPr>
        <w:pStyle w:val="ListBullet"/>
      </w:pPr>
      <w:r>
        <w:t>StartedOn/CompletedOn.</w:t>
      </w:r>
    </w:p>
    <w:p>
      <w:pPr>
        <w:pStyle w:val="ListBullet"/>
      </w:pPr>
      <w:r>
        <w:t>Round status.</w:t>
      </w:r>
    </w:p>
    <w:p>
      <w:pPr>
        <w:pStyle w:val="ListBullet"/>
      </w:pPr>
      <w:r>
        <w:t>Round evaluation.</w:t>
      </w:r>
    </w:p>
    <w:p>
      <w:pPr>
        <w:pStyle w:val="Heading1"/>
      </w:pPr>
      <w:r>
        <w:t>5. AssessmentQuestion</w:t>
      </w:r>
    </w:p>
    <w:p>
      <w:pPr>
        <w:pStyle w:val="ListBullet"/>
      </w:pPr>
      <w:r>
        <w:t>Order within round.</w:t>
      </w:r>
    </w:p>
    <w:p>
      <w:pPr>
        <w:pStyle w:val="ListBullet"/>
      </w:pPr>
      <w:r>
        <w:t>PrimaryQuestion.</w:t>
      </w:r>
    </w:p>
    <w:p>
      <w:pPr>
        <w:pStyle w:val="ListBullet"/>
      </w:pPr>
      <w:r>
        <w:t>Target competency.</w:t>
      </w:r>
    </w:p>
    <w:p>
      <w:pPr>
        <w:pStyle w:val="ListBullet"/>
      </w:pPr>
      <w:r>
        <w:t>Difficulty.</w:t>
      </w:r>
    </w:p>
    <w:p>
      <w:pPr>
        <w:pStyle w:val="ListBullet"/>
      </w:pPr>
      <w:r>
        <w:t>Question status.</w:t>
      </w:r>
    </w:p>
    <w:p>
      <w:pPr>
        <w:pStyle w:val="ListBullet"/>
      </w:pPr>
      <w:r>
        <w:t>StartedOn/CompletedOn.</w:t>
      </w:r>
    </w:p>
    <w:p>
      <w:pPr>
        <w:pStyle w:val="ListBullet"/>
      </w:pPr>
      <w:r>
        <w:t>ConversationContent value object persisted as JSON for MVP.</w:t>
      </w:r>
    </w:p>
    <w:p>
      <w:pPr>
        <w:pStyle w:val="ListBullet"/>
      </w:pPr>
      <w:r>
        <w:t>Candidate response/code as appropriate.</w:t>
      </w:r>
    </w:p>
    <w:p>
      <w:pPr>
        <w:pStyle w:val="ListBullet"/>
      </w:pPr>
      <w:r>
        <w:t>Question evaluation.</w:t>
      </w:r>
    </w:p>
    <w:p>
      <w:r>
        <w:t>The first conversation item is always the primary question. Follow-ups are conversation entries, not separate primary-question records.</w:t>
      </w:r>
    </w:p>
    <w:p>
      <w:pPr>
        <w:pStyle w:val="Heading1"/>
      </w:pPr>
      <w:r>
        <w:t>6. Conversation Persistence</w:t>
      </w:r>
    </w:p>
    <w:p>
      <w:r>
        <w:t>Use a ConversationContent value object with an EF Core value converter to nvarchar(max), following the established MarkdownContent/StructuredContent pattern.</w:t>
      </w:r>
    </w:p>
    <w:p>
      <w:r>
        <w:t>[</w:t>
        <w:br/>
        <w:t xml:space="preserve">  { "role": "assistant", "content": "Primary question..." },</w:t>
        <w:br/>
        <w:t xml:space="preserve">  { "role": "candidate", "content": "Answer..." },</w:t>
        <w:br/>
        <w:t xml:space="preserve">  { "role": "assistant", "content": "Follow-up..." },</w:t>
        <w:br/>
        <w:t xml:space="preserve">  { "role": "candidate", "content": "Answer..." }</w:t>
        <w:br/>
        <w:t>]</w:t>
      </w:r>
    </w:p>
    <w:p>
      <w:r>
        <w:t>Post-MVP may normalize messages if search, analytics, replay or detailed token telemetry justify it.</w:t>
      </w:r>
    </w:p>
    <w:p>
      <w:pPr>
        <w:pStyle w:val="Heading1"/>
      </w:pPr>
      <w:r>
        <w:t>7. AI Orchestration</w:t>
      </w:r>
    </w:p>
    <w:p>
      <w:r>
        <w:t>Core rule: AI recommends; application controls.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4968"/>
            <w:shd w:fill="D9EAF7"/>
          </w:tcPr>
          <w:p>
            <w:r>
              <w:rPr>
                <w:b/>
                <w:sz w:val="18"/>
              </w:rPr>
              <w:t>AI</w:t>
            </w:r>
          </w:p>
        </w:tc>
        <w:tc>
          <w:tcPr>
            <w:tcW w:type="dxa" w:w="4968"/>
            <w:shd w:fill="D9EAF7"/>
          </w:tcPr>
          <w:p>
            <w:r>
              <w:rPr>
                <w:b/>
                <w:sz w:val="18"/>
              </w:rPr>
              <w:t>Application</w:t>
            </w:r>
          </w:p>
        </w:tc>
      </w:tr>
      <w:tr>
        <w:tc>
          <w:tcPr>
            <w:tcW w:type="dxa" w:w="4968"/>
            <w:vAlign w:val="center"/>
          </w:tcPr>
          <w:p>
            <w:r>
              <w:rPr>
                <w:sz w:val="18"/>
              </w:rPr>
              <w:t>Generate primary questions.</w:t>
            </w:r>
          </w:p>
        </w:tc>
        <w:tc>
          <w:tcPr>
            <w:tcW w:type="dxa" w:w="4968"/>
            <w:vAlign w:val="center"/>
          </w:tcPr>
          <w:p>
            <w:r>
              <w:rPr>
                <w:sz w:val="18"/>
              </w:rPr>
              <w:t>Enforce session/round/question limits.</w:t>
            </w:r>
          </w:p>
        </w:tc>
      </w:tr>
      <w:tr>
        <w:tc>
          <w:tcPr>
            <w:tcW w:type="dxa" w:w="4968"/>
            <w:vAlign w:val="center"/>
          </w:tcPr>
          <w:p>
            <w:r>
              <w:rPr>
                <w:sz w:val="18"/>
              </w:rPr>
              <w:t>Recommend follow-up/next question.</w:t>
            </w:r>
          </w:p>
        </w:tc>
        <w:tc>
          <w:tcPr>
            <w:tcW w:type="dxa" w:w="4968"/>
            <w:vAlign w:val="center"/>
          </w:tcPr>
          <w:p>
            <w:r>
              <w:rPr>
                <w:sz w:val="18"/>
              </w:rPr>
              <w:t>Enforce follow-up limit and timers.</w:t>
            </w:r>
          </w:p>
        </w:tc>
      </w:tr>
      <w:tr>
        <w:tc>
          <w:tcPr>
            <w:tcW w:type="dxa" w:w="4968"/>
            <w:vAlign w:val="center"/>
          </w:tcPr>
          <w:p>
            <w:r>
              <w:rPr>
                <w:sz w:val="18"/>
              </w:rPr>
              <w:t>Generate follow-up questions.</w:t>
            </w:r>
          </w:p>
        </w:tc>
        <w:tc>
          <w:tcPr>
            <w:tcW w:type="dxa" w:w="4968"/>
            <w:vAlign w:val="center"/>
          </w:tcPr>
          <w:p>
            <w:r>
              <w:rPr>
                <w:sz w:val="18"/>
              </w:rPr>
              <w:t>Persist and advance workflow safely.</w:t>
            </w:r>
          </w:p>
        </w:tc>
      </w:tr>
      <w:tr>
        <w:tc>
          <w:tcPr>
            <w:tcW w:type="dxa" w:w="4968"/>
            <w:vAlign w:val="center"/>
          </w:tcPr>
          <w:p>
            <w:r>
              <w:rPr>
                <w:sz w:val="18"/>
              </w:rPr>
              <w:t>Evaluate response/code.</w:t>
            </w:r>
          </w:p>
        </w:tc>
        <w:tc>
          <w:tcPr>
            <w:tcW w:type="dxa" w:w="4968"/>
            <w:vAlign w:val="center"/>
          </w:tcPr>
          <w:p>
            <w:r>
              <w:rPr>
                <w:sz w:val="18"/>
              </w:rPr>
              <w:t>Persist evaluation and state transitions.</w:t>
            </w:r>
          </w:p>
        </w:tc>
      </w:tr>
      <w:tr>
        <w:tc>
          <w:tcPr>
            <w:tcW w:type="dxa" w:w="4968"/>
            <w:vAlign w:val="center"/>
          </w:tcPr>
          <w:p>
            <w:r>
              <w:rPr>
                <w:sz w:val="18"/>
              </w:rPr>
              <w:t>Synthesize round/final evaluation.</w:t>
            </w:r>
          </w:p>
        </w:tc>
        <w:tc>
          <w:tcPr>
            <w:tcW w:type="dxa" w:w="4968"/>
            <w:vAlign w:val="center"/>
          </w:tcPr>
          <w:p>
            <w:r>
              <w:rPr>
                <w:sz w:val="18"/>
              </w:rPr>
              <w:t>Calculate scores and apply thresholds.</w:t>
            </w:r>
          </w:p>
        </w:tc>
      </w:tr>
    </w:tbl>
    <w:p/>
    <w:p>
      <w:pPr>
        <w:pStyle w:val="Heading1"/>
      </w:pPr>
      <w:r>
        <w:t>8. AI Context Strategy</w:t>
      </w:r>
    </w:p>
    <w:p>
      <w:r>
        <w:t>Primary question generation uses only relevant round/strategy constraints, target competency and necessary job-profile context. Follow-up generation uses the current question and current conversation. Final evaluation uses round evaluations, not the entire transcript.</w:t>
      </w:r>
    </w:p>
    <w:p>
      <w:pPr>
        <w:pStyle w:val="Heading1"/>
      </w:pPr>
      <w:r>
        <w:t>9. AI Evaluation Contract</w:t>
      </w:r>
    </w:p>
    <w:p>
      <w:r>
        <w:t>{</w:t>
        <w:br/>
        <w:t xml:space="preserve">  "score": 82,</w:t>
        <w:br/>
        <w:t xml:space="preserve">  "confidence": 88,</w:t>
        <w:br/>
        <w:t xml:space="preserve">  "strengths": ["..."],</w:t>
        <w:br/>
        <w:t xml:space="preserve">  "gaps": ["..."],</w:t>
        <w:br/>
        <w:t xml:space="preserve">  "evidence": ["..."]</w:t>
        <w:br/>
        <w:t>}</w:t>
      </w:r>
    </w:p>
    <w:p>
      <w:r>
        <w:t>The exact contract can be refined during implementation, but score, confidence and evidence should remain explicit.</w:t>
      </w:r>
    </w:p>
    <w:p>
      <w:pPr>
        <w:pStyle w:val="Heading1"/>
      </w:pPr>
      <w:r>
        <w:t>10. Round Evaluation</w:t>
      </w:r>
    </w:p>
    <w:p>
      <w:r>
        <w:t>Application calculates the round score by averaging primary-question scores. AI receives question evaluations and produces qualitative summary, strengths, gaps, evidence synthesis and confidence.</w:t>
      </w:r>
    </w:p>
    <w:p>
      <w:pPr>
        <w:pStyle w:val="Heading1"/>
      </w:pPr>
      <w:r>
        <w:t>11. Competency Evaluation</w:t>
      </w:r>
    </w:p>
    <w:p>
      <w:r>
        <w:t>For MVP, competency score is the simple average of relevant question scores across rounds. No weights are used.</w:t>
      </w:r>
    </w:p>
    <w:p>
      <w:pPr>
        <w:pStyle w:val="Heading1"/>
      </w:pPr>
      <w:r>
        <w:t>12. Final Evaluation</w:t>
      </w:r>
    </w:p>
    <w:p>
      <w:r>
        <w:t>Application calculates final score as the average of round scores. AI receives round evaluations and produces executive summary, strengths, areas for improvement, qualitative assessment and confidence.</w:t>
      </w:r>
    </w:p>
    <w:p>
      <w:pPr>
        <w:pStyle w:val="Heading1"/>
      </w:pPr>
      <w:r>
        <w:t>13. Evaluation Policy</w:t>
      </w:r>
    </w:p>
    <w:p>
      <w:r>
        <w:t>{</w:t>
        <w:br/>
        <w:t xml:space="preserve">  "evaluationPolicy": {</w:t>
        <w:br/>
        <w:t xml:space="preserve">    "overallScoreThreshold": 75,</w:t>
        <w:br/>
        <w:t xml:space="preserve">    "competencies": [</w:t>
        <w:br/>
        <w:t xml:space="preserve">      { "name": "C#", "priority": "High", "minimumPassPercentage": 80 },</w:t>
        <w:br/>
        <w:t xml:space="preserve">      { "name": "Microsoft Azure", "priority": "Low", "minimumPassPercentage": 55 }</w:t>
        <w:br/>
        <w:t xml:space="preserve">    ]</w:t>
        <w:br/>
        <w:t xml:space="preserve">  }</w:t>
        <w:br/>
        <w:t>}</w:t>
      </w:r>
    </w:p>
    <w:p>
      <w:r>
        <w:t>No weight property is included. Priority is retained for competency context, question selection and reporting.</w:t>
      </w:r>
    </w:p>
    <w:p>
      <w:pPr>
        <w:pStyle w:val="Heading1"/>
      </w:pPr>
      <w:r>
        <w:t>14. Recommendation Algorithm</w:t>
      </w:r>
    </w:p>
    <w:p>
      <w:r>
        <w:t>SystemRecommendation = Recommended only when overall score meets the overall threshold and each competency with a configured minimum pass percentage meets that minimum, with sufficient evidence. Otherwise Not Recommended.</w:t>
      </w:r>
    </w:p>
    <w:p>
      <w:r>
        <w:t>Recruiter override is stored separately and never replaces the original system recommendation.</w:t>
      </w:r>
    </w:p>
    <w:p>
      <w:pPr>
        <w:pStyle w:val="Heading1"/>
      </w:pPr>
      <w:r>
        <w:t>15. AI Failure Handling</w:t>
      </w:r>
    </w:p>
    <w:p>
      <w:pPr>
        <w:pStyle w:val="ListBullet"/>
      </w:pPr>
      <w:r>
        <w:t>Persist candidate conversation/code before AI evaluation.</w:t>
      </w:r>
    </w:p>
    <w:p>
      <w:pPr>
        <w:pStyle w:val="ListBullet"/>
      </w:pPr>
      <w:r>
        <w:t>Retain candidate state if AI evaluation fails; mark evaluation pending/failed and retry.</w:t>
      </w:r>
    </w:p>
    <w:p>
      <w:pPr>
        <w:pStyle w:val="ListBullet"/>
      </w:pPr>
      <w:r>
        <w:t>Do not lose candidate responses because of provider failures.</w:t>
      </w:r>
    </w:p>
    <w:p>
      <w:pPr>
        <w:pStyle w:val="ListBullet"/>
      </w:pPr>
      <w:r>
        <w:t>Make question generation/evaluation retryable.</w:t>
      </w:r>
    </w:p>
    <w:p>
      <w:pPr>
        <w:pStyle w:val="ListBullet"/>
      </w:pPr>
      <w:r>
        <w:t>Retain provider, model and prompt-version metadata for AI-generated artifacts.</w:t>
      </w:r>
    </w:p>
    <w:p>
      <w:pPr>
        <w:pStyle w:val="Heading1"/>
      </w:pPr>
      <w:r>
        <w:t>16. DSA and Coding MVP</w:t>
      </w:r>
    </w:p>
    <w:p>
      <w:r>
        <w:t>Both use a code-editor interaction. MVP uses AI heuristic evaluation only. No claim of deterministic compilation or test execution should be made.</w:t>
      </w:r>
    </w:p>
    <w:p>
      <w:r>
        <w:t>Post-MVP, introduce an isolated secure code-execution service/sandbox. Candidate code is untrusted and must not execute inside the TAO API process.</w:t>
      </w:r>
    </w:p>
    <w:p>
      <w:pPr>
        <w:pStyle w:val="Heading1"/>
      </w:pPr>
      <w:r>
        <w:t>17. Round-Specific Evaluation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4968"/>
            <w:shd w:fill="D9EAF7"/>
          </w:tcPr>
          <w:p>
            <w:r>
              <w:rPr>
                <w:b/>
                <w:sz w:val="18"/>
              </w:rPr>
              <w:t>Round</w:t>
            </w:r>
          </w:p>
        </w:tc>
        <w:tc>
          <w:tcPr>
            <w:tcW w:type="dxa" w:w="4968"/>
            <w:shd w:fill="D9EAF7"/>
          </w:tcPr>
          <w:p>
            <w:r>
              <w:rPr>
                <w:b/>
                <w:sz w:val="18"/>
              </w:rPr>
              <w:t>Evaluation focus</w:t>
            </w:r>
          </w:p>
        </w:tc>
      </w:tr>
      <w:tr>
        <w:tc>
          <w:tcPr>
            <w:tcW w:type="dxa" w:w="4968"/>
            <w:vAlign w:val="center"/>
          </w:tcPr>
          <w:p>
            <w:r>
              <w:rPr>
                <w:sz w:val="18"/>
              </w:rPr>
              <w:t>DSA</w:t>
            </w:r>
          </w:p>
        </w:tc>
        <w:tc>
          <w:tcPr>
            <w:tcW w:type="dxa" w:w="4968"/>
            <w:vAlign w:val="center"/>
          </w:tcPr>
          <w:p>
            <w:r>
              <w:rPr>
                <w:sz w:val="18"/>
              </w:rPr>
              <w:t>Likely correctness, algorithmic approach, complexity, edge cases and code quality.</w:t>
            </w:r>
          </w:p>
        </w:tc>
      </w:tr>
      <w:tr>
        <w:tc>
          <w:tcPr>
            <w:tcW w:type="dxa" w:w="4968"/>
            <w:vAlign w:val="center"/>
          </w:tcPr>
          <w:p>
            <w:r>
              <w:rPr>
                <w:sz w:val="18"/>
              </w:rPr>
              <w:t>Coding</w:t>
            </w:r>
          </w:p>
        </w:tc>
        <w:tc>
          <w:tcPr>
            <w:tcW w:type="dxa" w:w="4968"/>
            <w:vAlign w:val="center"/>
          </w:tcPr>
          <w:p>
            <w:r>
              <w:rPr>
                <w:sz w:val="18"/>
              </w:rPr>
              <w:t>Functional approach, design, maintainability, correctness reasoning, edge cases and code quality.</w:t>
            </w:r>
          </w:p>
        </w:tc>
      </w:tr>
      <w:tr>
        <w:tc>
          <w:tcPr>
            <w:tcW w:type="dxa" w:w="4968"/>
            <w:vAlign w:val="center"/>
          </w:tcPr>
          <w:p>
            <w:r>
              <w:rPr>
                <w:sz w:val="18"/>
              </w:rPr>
              <w:t>TechnicalDiscussion</w:t>
            </w:r>
          </w:p>
        </w:tc>
        <w:tc>
          <w:tcPr>
            <w:tcW w:type="dxa" w:w="4968"/>
            <w:vAlign w:val="center"/>
          </w:tcPr>
          <w:p>
            <w:r>
              <w:rPr>
                <w:sz w:val="18"/>
              </w:rPr>
              <w:t>Technical knowledge, reasoning, depth, accuracy and evidence.</w:t>
            </w:r>
          </w:p>
        </w:tc>
      </w:tr>
      <w:tr>
        <w:tc>
          <w:tcPr>
            <w:tcW w:type="dxa" w:w="4968"/>
            <w:vAlign w:val="center"/>
          </w:tcPr>
          <w:p>
            <w:r>
              <w:rPr>
                <w:sz w:val="18"/>
              </w:rPr>
              <w:t>SystemDesign</w:t>
            </w:r>
          </w:p>
        </w:tc>
        <w:tc>
          <w:tcPr>
            <w:tcW w:type="dxa" w:w="4968"/>
            <w:vAlign w:val="center"/>
          </w:tcPr>
          <w:p>
            <w:r>
              <w:rPr>
                <w:sz w:val="18"/>
              </w:rPr>
              <w:t>Architecture, scalability, reliability, data/API design, trade-offs and failure handling.</w:t>
            </w:r>
          </w:p>
        </w:tc>
      </w:tr>
      <w:tr>
        <w:tc>
          <w:tcPr>
            <w:tcW w:type="dxa" w:w="4968"/>
            <w:vAlign w:val="center"/>
          </w:tcPr>
          <w:p>
            <w:r>
              <w:rPr>
                <w:sz w:val="18"/>
              </w:rPr>
              <w:t>AIRound</w:t>
            </w:r>
          </w:p>
        </w:tc>
        <w:tc>
          <w:tcPr>
            <w:tcW w:type="dxa" w:w="4968"/>
            <w:vAlign w:val="center"/>
          </w:tcPr>
          <w:p>
            <w:r>
              <w:rPr>
                <w:sz w:val="18"/>
              </w:rPr>
              <w:t>AI/AI engineering knowledge, reasoning and practical understanding.</w:t>
            </w:r>
          </w:p>
        </w:tc>
      </w:tr>
    </w:tbl>
    <w:p/>
    <w:p>
      <w:pPr>
        <w:pStyle w:val="Heading1"/>
      </w:pPr>
      <w:r>
        <w:t>18. AI Artifact Metadata</w:t>
      </w:r>
    </w:p>
    <w:p>
      <w:r>
        <w:t>Where applicable, AI-generated artifacts should retain Prompt, RawResponse, ProviderName, ModelName, PromptVersion and GeneratedOn, consistent with the existing TAO AI artifact approach.</w:t>
      </w:r>
    </w:p>
    <w:p>
      <w:pPr>
        <w:pStyle w:val="Heading1"/>
      </w:pPr>
      <w:r>
        <w:t>19. Suggested Implementation Order</w:t>
      </w:r>
    </w:p>
    <w:p>
      <w:pPr>
        <w:pStyle w:val="ListNumber"/>
      </w:pPr>
      <w:r>
        <w:t>Extend Assessment Strategy structured contract with EvaluationPolicy.</w:t>
      </w:r>
    </w:p>
    <w:p>
      <w:pPr>
        <w:pStyle w:val="ListNumber"/>
      </w:pPr>
      <w:r>
        <w:t>Configure persistence for EvaluationPolicy and any required value objects.</w:t>
      </w:r>
    </w:p>
    <w:p>
      <w:pPr>
        <w:pStyle w:val="ListNumber"/>
      </w:pPr>
      <w:r>
        <w:t>Implement AssessmentSession and strategy snapshot.</w:t>
      </w:r>
    </w:p>
    <w:p>
      <w:pPr>
        <w:pStyle w:val="ListNumber"/>
      </w:pPr>
      <w:r>
        <w:t>Implement AssessmentRound and AssessmentQuestion lifecycle.</w:t>
      </w:r>
    </w:p>
    <w:p>
      <w:pPr>
        <w:pStyle w:val="ListNumber"/>
      </w:pPr>
      <w:r>
        <w:t>Implement ConversationContent and EF Core conversion.</w:t>
      </w:r>
    </w:p>
    <w:p>
      <w:pPr>
        <w:pStyle w:val="ListNumber"/>
      </w:pPr>
      <w:r>
        <w:t>Implement primary-question generation.</w:t>
      </w:r>
    </w:p>
    <w:p>
      <w:pPr>
        <w:pStyle w:val="ListNumber"/>
      </w:pPr>
      <w:r>
        <w:t>Implement candidate response persistence and resume behavior.</w:t>
      </w:r>
    </w:p>
    <w:p>
      <w:pPr>
        <w:pStyle w:val="ListNumber"/>
      </w:pPr>
      <w:r>
        <w:t>Implement question evaluation.</w:t>
      </w:r>
    </w:p>
    <w:p>
      <w:pPr>
        <w:pStyle w:val="ListNumber"/>
      </w:pPr>
      <w:r>
        <w:t>Implement round evaluation and deterministic aggregation.</w:t>
      </w:r>
    </w:p>
    <w:p>
      <w:pPr>
        <w:pStyle w:val="ListNumber"/>
      </w:pPr>
      <w:r>
        <w:t>Implement competency aggregation and final evaluation.</w:t>
      </w:r>
    </w:p>
    <w:p>
      <w:pPr>
        <w:pStyle w:val="ListNumber"/>
      </w:pPr>
      <w:r>
        <w:t>Implement recommendation policy and recruiter override.</w:t>
      </w:r>
    </w:p>
    <w:p>
      <w:pPr>
        <w:pStyle w:val="ListNumber"/>
      </w:pPr>
      <w:r>
        <w:t>Implement recruiter report/read model and endpoints.</w:t>
      </w:r>
    </w:p>
    <w:p>
      <w:pPr>
        <w:pStyle w:val="ListNumber"/>
      </w:pPr>
      <w:r>
        <w:t>Implement candidate and recruiter UI.</w:t>
      </w:r>
    </w:p>
    <w:p>
      <w:pPr>
        <w:pStyle w:val="Heading1"/>
      </w:pPr>
      <w:r>
        <w:t>20. Post-MVP Evolution</w:t>
      </w:r>
    </w:p>
    <w:p>
      <w:pPr>
        <w:pStyle w:val="ListBullet"/>
      </w:pPr>
      <w:r>
        <w:t>Secure Docker/sandbox execution for DSA and Coding.</w:t>
      </w:r>
    </w:p>
    <w:p>
      <w:pPr>
        <w:pStyle w:val="ListBullet"/>
      </w:pPr>
      <w:r>
        <w:t>Normalized conversation/message storage.</w:t>
      </w:r>
    </w:p>
    <w:p>
      <w:pPr>
        <w:pStyle w:val="ListBullet"/>
      </w:pPr>
      <w:r>
        <w:t>Rolling summaries for long conversations.</w:t>
      </w:r>
    </w:p>
    <w:p>
      <w:pPr>
        <w:pStyle w:val="ListBullet"/>
      </w:pPr>
      <w:r>
        <w:t>Weighted scoring if justified by product requirements.</w:t>
      </w:r>
    </w:p>
    <w:p>
      <w:pPr>
        <w:pStyle w:val="ListBullet"/>
      </w:pPr>
      <w:r>
        <w:t>Custom round framework.</w:t>
      </w:r>
    </w:p>
    <w:p>
      <w:pPr>
        <w:pStyle w:val="ListBullet"/>
      </w:pPr>
      <w:r>
        <w:t>System Design diagram/canvas.</w:t>
      </w:r>
    </w:p>
    <w:p>
      <w:pPr>
        <w:pStyle w:val="ListBullet"/>
      </w:pPr>
      <w:r>
        <w:t>Advanced analytics and benchmarking.</w:t>
      </w:r>
    </w:p>
    <w:p>
      <w:pPr>
        <w:pStyle w:val="ListBullet"/>
      </w:pPr>
      <w:r>
        <w:t>Detailed event/audit sourcing.</w:t>
      </w:r>
    </w:p>
    <w:p>
      <w:r>
        <w:rPr>
          <w:b/>
        </w:rPr>
        <w:t xml:space="preserve">Status: </w:t>
      </w:r>
      <w:r>
        <w:t>Agreed technical baseline for TAO Assess Phase 1 MVP.</w:t>
      </w:r>
    </w:p>
    <w:sectPr w:rsidR="00FC693F" w:rsidRPr="0006063C" w:rsidSect="00034616">
      <w:pgSz w:w="12240" w:h="15840"/>
      <w:pgMar w:top="1008" w:right="1152" w:bottom="1008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