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TAO Assess – Future Implementation Blueprint</w:t>
      </w:r>
      <w:r>
        <w:rPr>
          <w:b/>
        </w:rPr>
        <w:br/>
        <w:t>Coding Workspace, AI Boilerplate &amp; Integration Testing</w:t>
      </w:r>
    </w:p>
    <w:p>
      <w:pPr>
        <w:jc w:val="center"/>
      </w:pPr>
      <w:r>
        <w:rPr>
          <w:i/>
        </w:rPr>
        <w:t>Current decisions captured for future implementation context</w:t>
      </w:r>
    </w:p>
    <w:p>
      <w:pPr>
        <w:pStyle w:val="Heading1"/>
      </w:pPr>
      <w:r>
        <w:t>1. Purpose</w:t>
      </w:r>
    </w:p>
    <w:p>
      <w:r>
        <w:t>This document captures the current decisions made while building TAO Assess. It is intended to provide future implementation context without requiring a return to older decision documents.</w:t>
      </w:r>
    </w:p>
    <w:p>
      <w:pPr>
        <w:pStyle w:val="Heading1"/>
      </w:pPr>
      <w:r>
        <w:t>2. Coding Question and Workspace Separation</w:t>
      </w:r>
    </w:p>
    <w:p>
      <w:r>
        <w:t>The Assessment Question Generator generates the assessment question and the competencies that the particular question meaningfully assesses. It should not generate the complete coding workspace as part of the same response.</w:t>
      </w:r>
    </w:p>
    <w:p>
      <w:pPr>
        <w:pStyle w:val="ListBullet"/>
      </w:pPr>
      <w:r>
        <w:t>Keep AssessmentQuestion AI output small: question + selected competencies.</w:t>
      </w:r>
    </w:p>
    <w:p>
      <w:pPr>
        <w:pStyle w:val="ListBullet"/>
      </w:pPr>
      <w:r>
        <w:t>The application determines whether a coding workspace is required.</w:t>
      </w:r>
    </w:p>
    <w:p>
      <w:pPr>
        <w:pStyle w:val="ListBullet"/>
      </w:pPr>
      <w:r>
        <w:t>A future Coding Workspace Generator generates the minimal starter workspace for the question.</w:t>
      </w:r>
    </w:p>
    <w:p>
      <w:pPr>
        <w:pStyle w:val="ListBullet"/>
      </w:pPr>
      <w:r>
        <w:t>Starter code must not contain the candidate's solution.</w:t>
      </w:r>
    </w:p>
    <w:p>
      <w:pPr>
        <w:pStyle w:val="ListBullet"/>
      </w:pPr>
      <w:r>
        <w:t>Starter code should minimize repetitive boilerplate so the candidate focuses on the assessed competency.</w:t>
      </w:r>
    </w:p>
    <w:p>
      <w:pPr>
        <w:pStyle w:val="Heading1"/>
      </w:pPr>
      <w:r>
        <w:t>3. Future Coding Workspace Flow</w:t>
      </w:r>
    </w:p>
    <w:p>
      <w:pPr>
        <w:pStyle w:val="ListNumber"/>
      </w:pPr>
      <w:r>
        <w:t>Assessment Strategy determines the assessment round.</w:t>
      </w:r>
    </w:p>
    <w:p>
      <w:pPr>
        <w:pStyle w:val="ListNumber"/>
      </w:pPr>
      <w:r>
        <w:t>AssessmentSessionRound freezes the runtime round configuration.</w:t>
      </w:r>
    </w:p>
    <w:p>
      <w:pPr>
        <w:pStyle w:val="ListNumber"/>
      </w:pPr>
      <w:r>
        <w:t>AssessmentQuestionGenerator generates the primary question and targeted competencies.</w:t>
      </w:r>
    </w:p>
    <w:p>
      <w:pPr>
        <w:pStyle w:val="ListNumber"/>
      </w:pPr>
      <w:r>
        <w:t>For coding questions, CodingWorkspaceGenerator receives the question and relevant assessment context.</w:t>
      </w:r>
    </w:p>
    <w:p>
      <w:pPr>
        <w:pStyle w:val="ListNumber"/>
      </w:pPr>
      <w:r>
        <w:t>CodingWorkspaceGenerator produces a minimal starter workspace.</w:t>
      </w:r>
    </w:p>
    <w:p>
      <w:pPr>
        <w:pStyle w:val="ListNumber"/>
      </w:pPr>
      <w:r>
        <w:t>WorkspaceValidator validates the generated workspace.</w:t>
      </w:r>
    </w:p>
    <w:p>
      <w:pPr>
        <w:pStyle w:val="ListNumber"/>
      </w:pPr>
      <w:r>
        <w:t>The validated workspace is presented through the Angular/Monaco candidate experience.</w:t>
      </w:r>
    </w:p>
    <w:p>
      <w:pPr>
        <w:pStyle w:val="Heading1"/>
      </w:pPr>
      <w:r>
        <w:t>4. Future Workspace Generator</w:t>
      </w:r>
    </w:p>
    <w:p>
      <w:r>
        <w:t>Do not hardcode domain-specific starter projects such as Order/Product/OrderItem templates. The long-term direction is to generate question-specific starter code using AI.</w:t>
      </w:r>
    </w:p>
    <w:p>
      <w:r>
        <w:rPr>
          <w:rFonts w:ascii="Consolas" w:hAnsi="Consolas"/>
        </w:rPr>
        <w:t>IAssessmentCodingWorkspaceGenerator</w:t>
        <w:br/>
        <w:br/>
        <w:t>GenerateAsync(</w:t>
        <w:br/>
        <w:t xml:space="preserve">    AssessmentQuestion question,</w:t>
        <w:br/>
        <w:t xml:space="preserve">    JobProfile jobProfile,</w:t>
        <w:br/>
        <w:t xml:space="preserve">    AssessmentSessionRound sessionRound,</w:t>
        <w:br/>
        <w:t xml:space="preserve">    CancellationToken cancellationToken)</w:t>
      </w:r>
    </w:p>
    <w:p>
      <w:pPr>
        <w:pStyle w:val="Heading1"/>
      </w:pPr>
      <w:r>
        <w:t>5. Starter Workspace Rules</w:t>
      </w:r>
    </w:p>
    <w:p>
      <w:pPr>
        <w:pStyle w:val="ListBullet"/>
      </w:pPr>
      <w:r>
        <w:t>Generate only the files required to solve the generated problem.</w:t>
      </w:r>
    </w:p>
    <w:p>
      <w:pPr>
        <w:pStyle w:val="ListBullet"/>
      </w:pPr>
      <w:r>
        <w:t>Provide minimal setup and infrastructure code.</w:t>
      </w:r>
    </w:p>
    <w:p>
      <w:pPr>
        <w:pStyle w:val="ListBullet"/>
      </w:pPr>
      <w:r>
        <w:t>Never provide the actual solution.</w:t>
      </w:r>
    </w:p>
    <w:p>
      <w:pPr>
        <w:pStyle w:val="ListBullet"/>
      </w:pPr>
      <w:r>
        <w:t>Do not introduce unnecessary architecture layers.</w:t>
      </w:r>
    </w:p>
    <w:p>
      <w:pPr>
        <w:pStyle w:val="ListBullet"/>
      </w:pPr>
      <w:r>
        <w:t>Preserve the intended assessment difficulty.</w:t>
      </w:r>
    </w:p>
    <w:p>
      <w:pPr>
        <w:pStyle w:val="ListBullet"/>
      </w:pPr>
      <w:r>
        <w:t>Provide a clear editable area for the candidate.</w:t>
      </w:r>
    </w:p>
    <w:p>
      <w:pPr>
        <w:pStyle w:val="ListBullet"/>
      </w:pPr>
      <w:r>
        <w:t>Keep workspaces equivalent enough that candidates receive a fair assessment.</w:t>
      </w:r>
    </w:p>
    <w:p>
      <w:pPr>
        <w:pStyle w:val="ListBullet"/>
      </w:pPr>
      <w:r>
        <w:t>Make the workspace suitable for controlled automated execution and testing.</w:t>
      </w:r>
    </w:p>
    <w:p>
      <w:pPr>
        <w:pStyle w:val="Heading1"/>
      </w:pPr>
      <w:r>
        <w:t>6. Workspace Validation</w:t>
      </w:r>
    </w:p>
    <w:p>
      <w:r>
        <w:t>AI-generated starter code should be validated before it is shown to the candidate.</w:t>
      </w:r>
    </w:p>
    <w:p>
      <w:pPr>
        <w:pStyle w:val="ListBullet"/>
      </w:pPr>
      <w:r>
        <w:t>Required files or entry points exist.</w:t>
      </w:r>
    </w:p>
    <w:p>
      <w:pPr>
        <w:pStyle w:val="ListBullet"/>
      </w:pPr>
      <w:r>
        <w:t>Starter code is syntactically valid and preferably compiles.</w:t>
      </w:r>
    </w:p>
    <w:p>
      <w:pPr>
        <w:pStyle w:val="ListBullet"/>
      </w:pPr>
      <w:r>
        <w:t>The solution is not accidentally included.</w:t>
      </w:r>
    </w:p>
    <w:p>
      <w:pPr>
        <w:pStyle w:val="ListBullet"/>
      </w:pPr>
      <w:r>
        <w:t>The expected editable region exists.</w:t>
      </w:r>
    </w:p>
    <w:p>
      <w:pPr>
        <w:pStyle w:val="ListBullet"/>
      </w:pPr>
      <w:r>
        <w:t>Language/framework matches the assessment.</w:t>
      </w:r>
    </w:p>
    <w:p>
      <w:pPr>
        <w:pStyle w:val="ListBullet"/>
      </w:pPr>
      <w:r>
        <w:t>Generated code contains no unsafe or unrelated executable content.</w:t>
      </w:r>
    </w:p>
    <w:p>
      <w:pPr>
        <w:pStyle w:val="Heading1"/>
      </w:pPr>
      <w:r>
        <w:t>7. Monaco Editor Direction</w:t>
      </w:r>
    </w:p>
    <w:p>
      <w:r>
        <w:t>Monaco is the planned browser editor for coding assessments. The backend should eventually provide a workspace definition containing file paths, contents and editability metadata.</w:t>
      </w:r>
    </w:p>
    <w:p>
      <w:r>
        <w:rPr>
          <w:rFonts w:ascii="Consolas" w:hAnsi="Consolas"/>
        </w:rPr>
        <w:t>workspace</w:t>
        <w:br/>
        <w:t xml:space="preserve"> ├── language</w:t>
        <w:br/>
        <w:t xml:space="preserve"> ├── framework</w:t>
        <w:br/>
        <w:t xml:space="preserve"> └── files[]</w:t>
        <w:br/>
        <w:t xml:space="preserve">      ├── path</w:t>
        <w:br/>
        <w:t xml:space="preserve">      ├── content</w:t>
        <w:br/>
        <w:t xml:space="preserve">      └── editable</w:t>
      </w:r>
    </w:p>
    <w:p>
      <w:pPr>
        <w:pStyle w:val="Heading1"/>
      </w:pPr>
      <w:r>
        <w:t>8. Secure Code Execution – Future Scope</w:t>
      </w:r>
    </w:p>
    <w:p>
      <w:r>
        <w:t>Candidate code must not be executed directly inside the normal TAO API process/container. A separate isolated execution environment will be required.</w:t>
      </w:r>
    </w:p>
    <w:p>
      <w:pPr>
        <w:pStyle w:val="ListBullet"/>
      </w:pPr>
      <w:r>
        <w:t>Isolated execution container or sandbox.</w:t>
      </w:r>
    </w:p>
    <w:p>
      <w:pPr>
        <w:pStyle w:val="ListBullet"/>
      </w:pPr>
      <w:r>
        <w:t>CPU, memory and execution-time limits.</w:t>
      </w:r>
    </w:p>
    <w:p>
      <w:pPr>
        <w:pStyle w:val="ListBullet"/>
      </w:pPr>
      <w:r>
        <w:t>Network restrictions.</w:t>
      </w:r>
    </w:p>
    <w:p>
      <w:pPr>
        <w:pStyle w:val="ListBullet"/>
      </w:pPr>
      <w:r>
        <w:t>Filesystem restrictions.</w:t>
      </w:r>
    </w:p>
    <w:p>
      <w:pPr>
        <w:pStyle w:val="ListBullet"/>
      </w:pPr>
      <w:r>
        <w:t>Controlled test-suite execution.</w:t>
      </w:r>
    </w:p>
    <w:p>
      <w:pPr>
        <w:pStyle w:val="ListBullet"/>
      </w:pPr>
      <w:r>
        <w:t>Compiler/runtime output capture.</w:t>
      </w:r>
    </w:p>
    <w:p>
      <w:pPr>
        <w:pStyle w:val="ListBullet"/>
      </w:pPr>
      <w:r>
        <w:t>Submission and evidence storage.</w:t>
      </w:r>
    </w:p>
    <w:p>
      <w:r>
        <w:t>This is future scope and should not be introduced while implementing the current primary-question slice.</w:t>
      </w:r>
    </w:p>
    <w:p>
      <w:pPr>
        <w:pStyle w:val="Heading1"/>
      </w:pPr>
      <w:r>
        <w:t>9. AI Responsibility vs Application Responsibility</w:t>
      </w:r>
    </w:p>
    <w:tbl>
      <w:tblPr>
        <w:tblStyle w:val="TableGrid"/>
        <w:tblW w:type="auto" w:w="0"/>
        <w:tblLook w:firstColumn="1" w:firstRow="1" w:lastColumn="0" w:lastRow="0" w:noHBand="0" w:noVBand="1" w:val="04A0"/>
      </w:tblPr>
      <w:tblGrid>
        <w:gridCol w:w="4320"/>
        <w:gridCol w:w="4320"/>
      </w:tblGrid>
      <w:tr>
        <w:tc>
          <w:tcPr>
            <w:tcW w:type="dxa" w:w="4320"/>
          </w:tcPr>
          <w:p>
            <w:r>
              <w:t>AI</w:t>
            </w:r>
          </w:p>
        </w:tc>
        <w:tc>
          <w:tcPr>
            <w:tcW w:type="dxa" w:w="4320"/>
          </w:tcPr>
          <w:p>
            <w:r>
              <w:t>Application</w:t>
            </w:r>
          </w:p>
        </w:tc>
      </w:tr>
      <w:tr>
        <w:tc>
          <w:tcPr>
            <w:tcW w:type="dxa" w:w="4320"/>
          </w:tcPr>
          <w:p>
            <w:r>
              <w:t>Generate assessment question</w:t>
            </w:r>
          </w:p>
        </w:tc>
        <w:tc>
          <w:tcPr>
            <w:tcW w:type="dxa" w:w="4320"/>
          </w:tcPr>
          <w:p>
            <w:r>
              <w:t>Assessment lifecycle</w:t>
            </w:r>
          </w:p>
        </w:tc>
      </w:tr>
      <w:tr>
        <w:tc>
          <w:tcPr>
            <w:tcW w:type="dxa" w:w="4320"/>
          </w:tcPr>
          <w:p>
            <w:r>
              <w:t>Select competencies meaningfully assessed</w:t>
            </w:r>
          </w:p>
        </w:tc>
        <w:tc>
          <w:tcPr>
            <w:tcW w:type="dxa" w:w="4320"/>
          </w:tcPr>
          <w:p>
            <w:r>
              <w:t>Validate selected competencies against frozen round</w:t>
            </w:r>
          </w:p>
        </w:tc>
      </w:tr>
      <w:tr>
        <w:tc>
          <w:tcPr>
            <w:tcW w:type="dxa" w:w="4320"/>
          </w:tcPr>
          <w:p>
            <w:r>
              <w:t>Generate future starter workspace</w:t>
            </w:r>
          </w:p>
        </w:tc>
        <w:tc>
          <w:tcPr>
            <w:tcW w:type="dxa" w:w="4320"/>
          </w:tcPr>
          <w:p>
            <w:r>
              <w:t>Validate generated workspace</w:t>
            </w:r>
          </w:p>
        </w:tc>
      </w:tr>
      <w:tr>
        <w:tc>
          <w:tcPr>
            <w:tcW w:type="dxa" w:w="4320"/>
          </w:tcPr>
          <w:p>
            <w:r>
              <w:t>Generate assessment/code content</w:t>
            </w:r>
          </w:p>
        </w:tc>
        <w:tc>
          <w:tcPr>
            <w:tcW w:type="dxa" w:w="4320"/>
          </w:tcPr>
          <w:p>
            <w:r>
              <w:t>Persist question and workspace</w:t>
            </w:r>
          </w:p>
        </w:tc>
      </w:tr>
      <w:tr>
        <w:tc>
          <w:tcPr>
            <w:tcW w:type="dxa" w:w="4320"/>
          </w:tcPr>
          <w:p>
            <w:r>
              <w:t>Recommend assessment content</w:t>
            </w:r>
          </w:p>
        </w:tc>
        <w:tc>
          <w:tcPr>
            <w:tcW w:type="dxa" w:w="4320"/>
          </w:tcPr>
          <w:p>
            <w:r>
              <w:t>Enforce deterministic business rules</w:t>
            </w:r>
          </w:p>
        </w:tc>
      </w:tr>
    </w:tbl>
    <w:p>
      <w:pPr>
        <w:pStyle w:val="Heading1"/>
      </w:pPr>
      <w:r>
        <w:t>10. Integration Testing Decision</w:t>
      </w:r>
    </w:p>
    <w:p>
      <w:r>
        <w:t>Assess integration tests are intentionally deferred until Assess MVP development is complete. During feature development, the priority is implementing each vertical slice and manually testing the actual AI conversation through Swagger.</w:t>
      </w:r>
    </w:p>
    <w:p>
      <w:pPr>
        <w:pStyle w:val="ListBullet"/>
      </w:pPr>
      <w:r>
        <w:t>Do not let integration-test infrastructure slow current Assess feature development.</w:t>
      </w:r>
    </w:p>
    <w:p>
      <w:pPr>
        <w:pStyle w:val="ListBullet"/>
      </w:pPr>
      <w:r>
        <w:t>Do not run Assess integration tests against the shared development database.</w:t>
      </w:r>
    </w:p>
    <w:p>
      <w:pPr>
        <w:pStyle w:val="ListBullet"/>
      </w:pPr>
      <w:r>
        <w:t>Do not create migrations solely to make integration tests pass against the existing development database.</w:t>
      </w:r>
    </w:p>
    <w:p>
      <w:pPr>
        <w:pStyle w:val="ListBullet"/>
      </w:pPr>
      <w:r>
        <w:t>Create a dedicated integration-test database when Assess development is complete.</w:t>
      </w:r>
    </w:p>
    <w:p>
      <w:pPr>
        <w:pStyle w:val="ListBullet"/>
      </w:pPr>
      <w:r>
        <w:t>Run the full Assess integration suite against that isolated database.</w:t>
      </w:r>
    </w:p>
    <w:p>
      <w:pPr>
        <w:pStyle w:val="ListBullet"/>
      </w:pPr>
      <w:r>
        <w:t>Use the final EF model/migration strategy or another deliberately controlled schema initialization strategy for the test database.</w:t>
      </w:r>
    </w:p>
    <w:p>
      <w:pPr>
        <w:pStyle w:val="Heading1"/>
      </w:pPr>
      <w:r>
        <w:t>11. Temporary Database/DI Decision</w:t>
      </w:r>
    </w:p>
    <w:p>
      <w:r>
        <w:t>The development database has received manual SQL schema changes that are not fully represented by EF migration history. This caused PendingModelChangesWarning and schema mismatch problems during integration-test initialization.</w:t>
      </w:r>
    </w:p>
    <w:p>
      <w:r>
        <w:t>The current development/DI arrangement is therefore a temporary workaround so feature development can continue without forcing the existing database through migrations that could affect working flows.</w:t>
      </w:r>
    </w:p>
    <w:p>
      <w:r>
        <w:t>Post-MVP follow-up: create the dedicated test database, update CustomWebApplicationFactory accordingly, and remove or replace the temporary workaround where appropriate.</w:t>
      </w:r>
    </w:p>
    <w:p>
      <w:pPr>
        <w:pStyle w:val="Heading1"/>
      </w:pPr>
      <w:r>
        <w:t>12. Why Integration Tests Were Deferred</w:t>
      </w:r>
    </w:p>
    <w:p>
      <w:pPr>
        <w:pStyle w:val="ListBullet"/>
      </w:pPr>
      <w:r>
        <w:t>The development database contains manually applied schema changes.</w:t>
      </w:r>
    </w:p>
    <w:p>
      <w:pPr>
        <w:pStyle w:val="ListBullet"/>
      </w:pPr>
      <w:r>
        <w:t>EF migration history does not represent every current database change.</w:t>
      </w:r>
    </w:p>
    <w:p>
      <w:pPr>
        <w:pStyle w:val="ListBullet"/>
      </w:pPr>
      <w:r>
        <w:t>Migration-based test initialization produced pending-model-change failures.</w:t>
      </w:r>
    </w:p>
    <w:p>
      <w:pPr>
        <w:pStyle w:val="ListBullet"/>
      </w:pPr>
      <w:r>
        <w:t>Additional mapping/type mismatches were exposed when tests queried the manually modified database.</w:t>
      </w:r>
    </w:p>
    <w:p>
      <w:pPr>
        <w:pStyle w:val="ListBullet"/>
      </w:pPr>
      <w:r>
        <w:t>Resolving these infrastructure issues during every Assess feature slice was becoming a distraction from product development.</w:t>
      </w:r>
    </w:p>
    <w:p>
      <w:pPr>
        <w:pStyle w:val="Heading1"/>
      </w:pPr>
      <w:r>
        <w:t>13. Integration Test Plan When Resumed</w:t>
      </w:r>
    </w:p>
    <w:p>
      <w:pPr>
        <w:pStyle w:val="ListNumber"/>
      </w:pPr>
      <w:r>
        <w:t>Create a dedicated Assess integration-test database.</w:t>
      </w:r>
    </w:p>
    <w:p>
      <w:pPr>
        <w:pStyle w:val="ListNumber"/>
      </w:pPr>
      <w:r>
        <w:t>Choose a controlled schema initialization strategy.</w:t>
      </w:r>
    </w:p>
    <w:p>
      <w:pPr>
        <w:pStyle w:val="ListNumber"/>
      </w:pPr>
      <w:r>
        <w:t>Ensure the test database is isolated from the developer database.</w:t>
      </w:r>
    </w:p>
    <w:p>
      <w:pPr>
        <w:pStyle w:val="ListNumber"/>
      </w:pPr>
      <w:r>
        <w:t>Update CustomWebApplicationFactory to use the dedicated test database.</w:t>
      </w:r>
    </w:p>
    <w:p>
      <w:pPr>
        <w:pStyle w:val="ListNumber"/>
      </w:pPr>
      <w:r>
        <w:t>Seed deterministic Organization, Campaign, JobProfile, AssessmentStrategy and CandidateApplication data.</w:t>
      </w:r>
    </w:p>
    <w:p>
      <w:pPr>
        <w:pStyle w:val="ListNumber"/>
      </w:pPr>
      <w:r>
        <w:t>Test the complete candidate flow in sequence.</w:t>
      </w:r>
    </w:p>
    <w:p>
      <w:pPr>
        <w:pStyle w:val="ListNumber"/>
      </w:pPr>
      <w:r>
        <w:t>Use the real AI provider only for tests intended to validate real AI integration; use controlled substitutes where deterministic application testing is more appropriate.</w:t>
      </w:r>
    </w:p>
    <w:p>
      <w:pPr>
        <w:pStyle w:val="ListNumber"/>
      </w:pPr>
      <w:r>
        <w:t>Verify persisted AssessmentQuestion, session state and Conversation JSON.</w:t>
      </w:r>
    </w:p>
    <w:p>
      <w:pPr>
        <w:pStyle w:val="Heading1"/>
      </w:pPr>
      <w:r>
        <w:t>14. Candidate Flow to Test End-to-End</w:t>
      </w:r>
    </w:p>
    <w:p>
      <w:pPr>
        <w:pStyle w:val="ListNumber"/>
      </w:pPr>
      <w:r>
        <w:t>Prepare candidate application.</w:t>
      </w:r>
    </w:p>
    <w:p>
      <w:pPr>
        <w:pStyle w:val="ListNumber"/>
      </w:pPr>
      <w:r>
        <w:t>Create assessment session.</w:t>
      </w:r>
    </w:p>
    <w:p>
      <w:pPr>
        <w:pStyle w:val="ListNumber"/>
      </w:pPr>
      <w:r>
        <w:t>Start assessment session.</w:t>
      </w:r>
    </w:p>
    <w:p>
      <w:pPr>
        <w:pStyle w:val="ListNumber"/>
      </w:pPr>
      <w:r>
        <w:t>Generate primary question.</w:t>
      </w:r>
    </w:p>
    <w:p>
      <w:pPr>
        <w:pStyle w:val="ListNumber"/>
      </w:pPr>
      <w:r>
        <w:t>Submit candidate response.</w:t>
      </w:r>
    </w:p>
    <w:p>
      <w:pPr>
        <w:pStyle w:val="ListNumber"/>
      </w:pPr>
      <w:r>
        <w:t>Generate follow-up question when applicable.</w:t>
      </w:r>
    </w:p>
    <w:p>
      <w:pPr>
        <w:pStyle w:val="ListNumber"/>
      </w:pPr>
      <w:r>
        <w:t>Continue conversation.</w:t>
      </w:r>
    </w:p>
    <w:p>
      <w:pPr>
        <w:pStyle w:val="ListNumber"/>
      </w:pPr>
      <w:r>
        <w:t>Evaluate question.</w:t>
      </w:r>
    </w:p>
    <w:p>
      <w:pPr>
        <w:pStyle w:val="ListNumber"/>
      </w:pPr>
      <w:r>
        <w:t>Complete current round.</w:t>
      </w:r>
    </w:p>
    <w:p>
      <w:pPr>
        <w:pStyle w:val="ListNumber"/>
      </w:pPr>
      <w:r>
        <w:t>Evaluate round.</w:t>
      </w:r>
    </w:p>
    <w:p>
      <w:pPr>
        <w:pStyle w:val="ListNumber"/>
      </w:pPr>
      <w:r>
        <w:t>Advance to next round.</w:t>
      </w:r>
    </w:p>
    <w:p>
      <w:pPr>
        <w:pStyle w:val="ListNumber"/>
      </w:pPr>
      <w:r>
        <w:t>Complete assessment.</w:t>
      </w:r>
    </w:p>
    <w:p>
      <w:pPr>
        <w:pStyle w:val="Heading1"/>
      </w:pPr>
      <w:r>
        <w:t>15. Current Step 3 Boundary</w:t>
      </w:r>
    </w:p>
    <w:p>
      <w:r>
        <w:t>The current implementation should stop after generating and persisting the primary question, initializing the conversation and setting AssessmentSession.CurrentQuestionId. Coding workspace generation, Monaco integration, secure code execution and the full integration-test suite are later slices.</w:t>
      </w:r>
    </w:p>
    <w:p>
      <w:pPr>
        <w:pStyle w:val="Heading1"/>
      </w:pPr>
      <w:r>
        <w:t>16. Decisions to Preserve</w:t>
      </w:r>
    </w:p>
    <w:p>
      <w:pPr>
        <w:pStyle w:val="ListBullet"/>
      </w:pPr>
      <w:r>
        <w:t>Do not hardcode Order/Product/OrderItem starter workspaces for future coding assessments.</w:t>
      </w:r>
    </w:p>
    <w:p>
      <w:pPr>
        <w:pStyle w:val="ListBullet"/>
      </w:pPr>
      <w:r>
        <w:t>Use a dedicated AI workspace-generation capability for question-specific starter code.</w:t>
      </w:r>
    </w:p>
    <w:p>
      <w:pPr>
        <w:pStyle w:val="ListBullet"/>
      </w:pPr>
      <w:r>
        <w:t>Keep question generation and workspace generation as separate responsibilities.</w:t>
      </w:r>
    </w:p>
    <w:p>
      <w:pPr>
        <w:pStyle w:val="ListBullet"/>
      </w:pPr>
      <w:r>
        <w:t>Do not put workspace files into the AssessmentQuestion AI response.</w:t>
      </w:r>
    </w:p>
    <w:p>
      <w:pPr>
        <w:pStyle w:val="ListBullet"/>
      </w:pPr>
      <w:r>
        <w:t>Do not allow AI-generated starter code to become the solution.</w:t>
      </w:r>
    </w:p>
    <w:p>
      <w:pPr>
        <w:pStyle w:val="ListBullet"/>
      </w:pPr>
      <w:r>
        <w:t>Validate generated workspaces before presenting them to candidates.</w:t>
      </w:r>
    </w:p>
    <w:p>
      <w:pPr>
        <w:pStyle w:val="ListBullet"/>
      </w:pPr>
      <w:r>
        <w:t>Use Monaco for the future browser coding experience.</w:t>
      </w:r>
    </w:p>
    <w:p>
      <w:pPr>
        <w:pStyle w:val="ListBullet"/>
      </w:pPr>
      <w:r>
        <w:t>Use isolated execution for arbitrary candidate code.</w:t>
      </w:r>
    </w:p>
    <w:p>
      <w:pPr>
        <w:pStyle w:val="ListBullet"/>
      </w:pPr>
      <w:r>
        <w:t>Defer Assess integration testing until feature development is complete and a dedicated test database exists.</w:t>
      </w:r>
    </w:p>
    <w:p>
      <w:pPr>
        <w:pStyle w:val="ListBullet"/>
      </w:pPr>
      <w:r>
        <w:t>Keep the development database separate from integration-test infrastructure.</w:t>
      </w:r>
    </w:p>
    <w:p>
      <w:pPr>
        <w:pStyle w:val="Heading1"/>
      </w:pPr>
      <w:r>
        <w:t>17. Future Implementation Priority</w:t>
      </w:r>
    </w:p>
    <w:p>
      <w:pPr>
        <w:pStyle w:val="ListNumber"/>
      </w:pPr>
      <w:r>
        <w:t>Finish primary question generation and Swagger validation.</w:t>
      </w:r>
    </w:p>
    <w:p>
      <w:pPr>
        <w:pStyle w:val="ListNumber"/>
      </w:pPr>
      <w:r>
        <w:t>Implement candidate response and conversation handling.</w:t>
      </w:r>
    </w:p>
    <w:p>
      <w:pPr>
        <w:pStyle w:val="ListNumber"/>
      </w:pPr>
      <w:r>
        <w:t>Implement AI follow-up question generation.</w:t>
      </w:r>
    </w:p>
    <w:p>
      <w:pPr>
        <w:pStyle w:val="ListNumber"/>
      </w:pPr>
      <w:r>
        <w:t>Implement question evaluation.</w:t>
      </w:r>
    </w:p>
    <w:p>
      <w:pPr>
        <w:pStyle w:val="ListNumber"/>
      </w:pPr>
      <w:r>
        <w:t>Implement round evaluation.</w:t>
      </w:r>
    </w:p>
    <w:p>
      <w:pPr>
        <w:pStyle w:val="ListNumber"/>
      </w:pPr>
      <w:r>
        <w:t>Complete the assessment lifecycle.</w:t>
      </w:r>
    </w:p>
    <w:p>
      <w:pPr>
        <w:pStyle w:val="ListNumber"/>
      </w:pPr>
      <w:r>
        <w:t>Implement coding workspace generation and Monaco integration.</w:t>
      </w:r>
    </w:p>
    <w:p>
      <w:pPr>
        <w:pStyle w:val="ListNumber"/>
      </w:pPr>
      <w:r>
        <w:t>Implement isolated code execution and automated test execution.</w:t>
      </w:r>
    </w:p>
    <w:p>
      <w:pPr>
        <w:pStyle w:val="ListNumber"/>
      </w:pPr>
      <w:r>
        <w:t>Establish the dedicated Assess integration-test database and complete integration-test coverage.</w:t>
      </w:r>
    </w:p>
    <w:p/>
    <w:p>
      <w:r>
        <w:rPr>
          <w:b/>
        </w:rPr>
        <w:t xml:space="preserve">Context note: </w:t>
      </w:r>
      <w:r>
        <w:t>This document records the current discussion decisions for future implementation. It should be treated as the working context for coding-workspace and Assess integration-testing work unless a later explicit decision changes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