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TAO Acquire - Physical Database Design (PDD) v2.0</w:t>
      </w:r>
    </w:p>
    <w:p>
      <w:r>
        <w:t>This document translates the approved Logical Database Design into a SQL Server and EF Core implementation blueprint for the TAO Acquire MVP.</w:t>
      </w:r>
    </w:p>
    <w:p>
      <w:pPr>
        <w:pStyle w:val="Heading2"/>
      </w:pPr>
      <w:r>
        <w:t>Database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Standard</w:t>
            </w:r>
          </w:p>
        </w:tc>
        <w:tc>
          <w:tcPr>
            <w:tcW w:type="dxa" w:w="4320"/>
          </w:tcPr>
          <w:p>
            <w:r>
              <w:t>Decision</w:t>
            </w:r>
          </w:p>
        </w:tc>
      </w:tr>
      <w:tr>
        <w:tc>
          <w:tcPr>
            <w:tcW w:type="dxa" w:w="4320"/>
          </w:tcPr>
          <w:p>
            <w:r>
              <w:t>Primary Keys</w:t>
            </w:r>
          </w:p>
        </w:tc>
        <w:tc>
          <w:tcPr>
            <w:tcW w:type="dxa" w:w="4320"/>
          </w:tcPr>
          <w:p>
            <w:r>
              <w:t>uniqueidentifier (NEWSEQUENTIALID())</w:t>
            </w:r>
          </w:p>
        </w:tc>
      </w:tr>
      <w:tr>
        <w:tc>
          <w:tcPr>
            <w:tcW w:type="dxa" w:w="4320"/>
          </w:tcPr>
          <w:p>
            <w:r>
              <w:t>Date/Time</w:t>
            </w:r>
          </w:p>
        </w:tc>
        <w:tc>
          <w:tcPr>
            <w:tcW w:type="dxa" w:w="4320"/>
          </w:tcPr>
          <w:p>
            <w:r>
              <w:t>datetime2(7) UTC</w:t>
            </w:r>
          </w:p>
        </w:tc>
      </w:tr>
      <w:tr>
        <w:tc>
          <w:tcPr>
            <w:tcW w:type="dxa" w:w="4320"/>
          </w:tcPr>
          <w:p>
            <w:r>
              <w:t>Strings</w:t>
            </w:r>
          </w:p>
        </w:tc>
        <w:tc>
          <w:tcPr>
            <w:tcW w:type="dxa" w:w="4320"/>
          </w:tcPr>
          <w:p>
            <w:r>
              <w:t>nvarchar</w:t>
            </w:r>
          </w:p>
        </w:tc>
      </w:tr>
      <w:tr>
        <w:tc>
          <w:tcPr>
            <w:tcW w:type="dxa" w:w="4320"/>
          </w:tcPr>
          <w:p>
            <w:r>
              <w:t>Large JSON</w:t>
            </w:r>
          </w:p>
        </w:tc>
        <w:tc>
          <w:tcPr>
            <w:tcW w:type="dxa" w:w="4320"/>
          </w:tcPr>
          <w:p>
            <w:r>
              <w:t>nvarchar(max)</w:t>
            </w:r>
          </w:p>
        </w:tc>
      </w:tr>
      <w:tr>
        <w:tc>
          <w:tcPr>
            <w:tcW w:type="dxa" w:w="4320"/>
          </w:tcPr>
          <w:p>
            <w:r>
              <w:t>Binary</w:t>
            </w:r>
          </w:p>
        </w:tc>
        <w:tc>
          <w:tcPr>
            <w:tcW w:type="dxa" w:w="4320"/>
          </w:tcPr>
          <w:p>
            <w:r>
              <w:t>varbinary(max)</w:t>
            </w:r>
          </w:p>
        </w:tc>
      </w:tr>
      <w:tr>
        <w:tc>
          <w:tcPr>
            <w:tcW w:type="dxa" w:w="4320"/>
          </w:tcPr>
          <w:p>
            <w:r>
              <w:t>Enums</w:t>
            </w:r>
          </w:p>
        </w:tc>
        <w:tc>
          <w:tcPr>
            <w:tcW w:type="dxa" w:w="4320"/>
          </w:tcPr>
          <w:p>
            <w:r>
              <w:t>tinyint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CreatedOn / ModifiedOn on all aggregate entities</w:t>
            </w:r>
          </w:p>
        </w:tc>
      </w:tr>
      <w:tr>
        <w:tc>
          <w:tcPr>
            <w:tcW w:type="dxa" w:w="4320"/>
          </w:tcPr>
          <w:p>
            <w:r>
              <w:t>Naming</w:t>
            </w:r>
          </w:p>
        </w:tc>
        <w:tc>
          <w:tcPr>
            <w:tcW w:type="dxa" w:w="4320"/>
          </w:tcPr>
          <w:p>
            <w:r>
              <w:t>Singular table names</w:t>
            </w:r>
          </w:p>
        </w:tc>
      </w:tr>
    </w:tbl>
    <w:p>
      <w:pPr>
        <w:pStyle w:val="Heading2"/>
      </w:pPr>
      <w:r>
        <w:t>Entity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Primary / Unique Keys</w:t>
            </w:r>
          </w:p>
        </w:tc>
        <w:tc>
          <w:tcPr>
            <w:tcW w:type="dxa" w:w="1728"/>
          </w:tcPr>
          <w:p>
            <w:r>
              <w:t>Indexes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Organization</w:t>
            </w:r>
          </w:p>
        </w:tc>
        <w:tc>
          <w:tcPr>
            <w:tcW w:type="dxa" w:w="1728"/>
          </w:tcPr>
          <w:p>
            <w:r>
              <w:t>Tenant</w:t>
            </w:r>
          </w:p>
        </w:tc>
        <w:tc>
          <w:tcPr>
            <w:tcW w:type="dxa" w:w="1728"/>
          </w:tcPr>
          <w:p>
            <w:r>
              <w:t>PK(Id); UQ(Code); UQ(Name)</w:t>
            </w:r>
          </w:p>
        </w:tc>
        <w:tc>
          <w:tcPr>
            <w:tcW w:type="dxa" w:w="1728"/>
          </w:tcPr>
          <w:p>
            <w:r>
              <w:t>IX_Status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Platform user</w:t>
            </w:r>
          </w:p>
        </w:tc>
        <w:tc>
          <w:tcPr>
            <w:tcW w:type="dxa" w:w="1728"/>
          </w:tcPr>
          <w:p>
            <w:r>
              <w:t>PK(Id); UQ(OrganizationId,Email)</w:t>
            </w:r>
          </w:p>
        </w:tc>
        <w:tc>
          <w:tcPr>
            <w:tcW w:type="dxa" w:w="1728"/>
          </w:tcPr>
          <w:p>
            <w:r>
              <w:t>IX_OrganizationId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Campaign</w:t>
            </w:r>
          </w:p>
        </w:tc>
        <w:tc>
          <w:tcPr>
            <w:tcW w:type="dxa" w:w="1728"/>
          </w:tcPr>
          <w:p>
            <w:r>
              <w:t>Aggregate Root</w:t>
            </w:r>
          </w:p>
        </w:tc>
        <w:tc>
          <w:tcPr>
            <w:tcW w:type="dxa" w:w="1728"/>
          </w:tcPr>
          <w:p>
            <w:r>
              <w:t>PK(Id); UQ(OrganizationId,ReferenceNumber)</w:t>
            </w:r>
          </w:p>
        </w:tc>
        <w:tc>
          <w:tcPr>
            <w:tcW w:type="dxa" w:w="1728"/>
          </w:tcPr>
          <w:p>
            <w:r>
              <w:t>IX_OrganizationId, IX_Status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JobProfile</w:t>
            </w:r>
          </w:p>
        </w:tc>
        <w:tc>
          <w:tcPr>
            <w:tcW w:type="dxa" w:w="1728"/>
          </w:tcPr>
          <w:p>
            <w:r>
              <w:t>AI job profile</w:t>
            </w:r>
          </w:p>
        </w:tc>
        <w:tc>
          <w:tcPr>
            <w:tcW w:type="dxa" w:w="1728"/>
          </w:tcPr>
          <w:p>
            <w:r>
              <w:t>PK(Id); UQ(CampaignId)</w:t>
            </w:r>
          </w:p>
        </w:tc>
        <w:tc>
          <w:tcPr>
            <w:tcW w:type="dxa" w:w="1728"/>
          </w:tcPr>
          <w:p>
            <w:r>
              <w:t>IX_CampaignId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HiringStrategy</w:t>
            </w:r>
          </w:p>
        </w:tc>
        <w:tc>
          <w:tcPr>
            <w:tcW w:type="dxa" w:w="1728"/>
          </w:tcPr>
          <w:p>
            <w:r>
              <w:t>AI strategy</w:t>
            </w:r>
          </w:p>
        </w:tc>
        <w:tc>
          <w:tcPr>
            <w:tcW w:type="dxa" w:w="1728"/>
          </w:tcPr>
          <w:p>
            <w:r>
              <w:t>PK(Id); UQ(CampaignId)</w:t>
            </w:r>
          </w:p>
        </w:tc>
        <w:tc>
          <w:tcPr>
            <w:tcW w:type="dxa" w:w="1728"/>
          </w:tcPr>
          <w:p>
            <w:r>
              <w:t>IX_CampaignId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ResumeImport</w:t>
            </w:r>
          </w:p>
        </w:tc>
        <w:tc>
          <w:tcPr>
            <w:tcW w:type="dxa" w:w="1728"/>
          </w:tcPr>
          <w:p>
            <w:r>
              <w:t>Batch upload</w:t>
            </w:r>
          </w:p>
        </w:tc>
        <w:tc>
          <w:tcPr>
            <w:tcW w:type="dxa" w:w="1728"/>
          </w:tcPr>
          <w:p>
            <w:r>
              <w:t>PK(Id)</w:t>
            </w:r>
          </w:p>
        </w:tc>
        <w:tc>
          <w:tcPr>
            <w:tcW w:type="dxa" w:w="1728"/>
          </w:tcPr>
          <w:p>
            <w:r>
              <w:t>IX_CampaignId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Application</w:t>
            </w:r>
          </w:p>
        </w:tc>
        <w:tc>
          <w:tcPr>
            <w:tcW w:type="dxa" w:w="1728"/>
          </w:tcPr>
          <w:p>
            <w:r>
              <w:t>Candidate application</w:t>
            </w:r>
          </w:p>
        </w:tc>
        <w:tc>
          <w:tcPr>
            <w:tcW w:type="dxa" w:w="1728"/>
          </w:tcPr>
          <w:p>
            <w:r>
              <w:t>PK(Id); UQ(CampaignId,Email)</w:t>
            </w:r>
          </w:p>
        </w:tc>
        <w:tc>
          <w:tcPr>
            <w:tcW w:type="dxa" w:w="1728"/>
          </w:tcPr>
          <w:p>
            <w:r>
              <w:t>IX_CampaignId, IX_Status</w:t>
            </w:r>
          </w:p>
        </w:tc>
        <w:tc>
          <w:tcPr>
            <w:tcW w:type="dxa" w:w="1728"/>
          </w:tcPr>
          <w:p>
            <w:r>
              <w:t>Business uniqueness enforced by (CampaignId, Email).</w:t>
            </w:r>
          </w:p>
        </w:tc>
      </w:tr>
      <w:tr>
        <w:tc>
          <w:tcPr>
            <w:tcW w:type="dxa" w:w="1728"/>
          </w:tcPr>
          <w:p>
            <w:r>
              <w:t>Resume</w:t>
            </w:r>
          </w:p>
        </w:tc>
        <w:tc>
          <w:tcPr>
            <w:tcW w:type="dxa" w:w="1728"/>
          </w:tcPr>
          <w:p>
            <w:r>
              <w:t>Uploaded file</w:t>
            </w:r>
          </w:p>
        </w:tc>
        <w:tc>
          <w:tcPr>
            <w:tcW w:type="dxa" w:w="1728"/>
          </w:tcPr>
          <w:p>
            <w:r>
              <w:t>PK(Id); UQ(ApplicationId)</w:t>
            </w:r>
          </w:p>
        </w:tc>
        <w:tc>
          <w:tcPr>
            <w:tcW w:type="dxa" w:w="1728"/>
          </w:tcPr>
          <w:p>
            <w:r>
              <w:t>IX_ApplicationId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ResumeProfile</w:t>
            </w:r>
          </w:p>
        </w:tc>
        <w:tc>
          <w:tcPr>
            <w:tcW w:type="dxa" w:w="1728"/>
          </w:tcPr>
          <w:p>
            <w:r>
              <w:t>Structured profile</w:t>
            </w:r>
          </w:p>
        </w:tc>
        <w:tc>
          <w:tcPr>
            <w:tcW w:type="dxa" w:w="1728"/>
          </w:tcPr>
          <w:p>
            <w:r>
              <w:t>PK(Id); UQ(ApplicationId)</w:t>
            </w:r>
          </w:p>
        </w:tc>
        <w:tc>
          <w:tcPr>
            <w:tcW w:type="dxa" w:w="1728"/>
          </w:tcPr>
          <w:p>
            <w:r>
              <w:t>IX_ApplicationId</w:t>
            </w:r>
          </w:p>
        </w:tc>
        <w:tc>
          <w:tcPr>
            <w:tcW w:type="dxa" w:w="1728"/>
          </w:tcPr>
          <w:p>
            <w:r>
              <w:t>Created from single AI parsing pass.</w:t>
            </w:r>
          </w:p>
        </w:tc>
      </w:tr>
      <w:tr>
        <w:tc>
          <w:tcPr>
            <w:tcW w:type="dxa" w:w="1728"/>
          </w:tcPr>
          <w:p>
            <w:r>
              <w:t>ResumeScreening</w:t>
            </w:r>
          </w:p>
        </w:tc>
        <w:tc>
          <w:tcPr>
            <w:tcW w:type="dxa" w:w="1728"/>
          </w:tcPr>
          <w:p>
            <w:r>
              <w:t>AI evaluation</w:t>
            </w:r>
          </w:p>
        </w:tc>
        <w:tc>
          <w:tcPr>
            <w:tcW w:type="dxa" w:w="1728"/>
          </w:tcPr>
          <w:p>
            <w:r>
              <w:t>PK(Id); UQ(ApplicationId)</w:t>
            </w:r>
          </w:p>
        </w:tc>
        <w:tc>
          <w:tcPr>
            <w:tcW w:type="dxa" w:w="1728"/>
          </w:tcPr>
          <w:p>
            <w:r>
              <w:t>IX_ApplicationId</w:t>
            </w:r>
          </w:p>
        </w:tc>
        <w:tc>
          <w:tcPr>
            <w:tcW w:type="dxa" w:w="1728"/>
          </w:tcPr>
          <w:p>
            <w:r>
              <w:t>Generated from ResumeProfile + JobProfile + HiringStrategy.</w:t>
            </w:r>
          </w:p>
        </w:tc>
      </w:tr>
    </w:tbl>
    <w:p>
      <w:pPr>
        <w:pStyle w:val="Heading2"/>
      </w:pPr>
      <w:r>
        <w:t>Logical Constraints</w:t>
      </w:r>
    </w:p>
    <w:p>
      <w:pPr>
        <w:pStyle w:val="ListBullet"/>
      </w:pPr>
      <w:r>
        <w:t>Campaign must exist before JobProfile, HiringStrategy, ResumeImport or Application.</w:t>
      </w:r>
    </w:p>
    <w:p>
      <w:pPr>
        <w:pStyle w:val="ListBullet"/>
      </w:pPr>
      <w:r>
        <w:t>JobProfile and HiringStrategy are one-to-one with Campaign.</w:t>
      </w:r>
    </w:p>
    <w:p>
      <w:pPr>
        <w:pStyle w:val="ListBullet"/>
      </w:pPr>
      <w:r>
        <w:t>Application uniqueness is enforced by CampaignId + Email.</w:t>
      </w:r>
    </w:p>
    <w:p>
      <w:pPr>
        <w:pStyle w:val="ListBullet"/>
      </w:pPr>
      <w:r>
        <w:t>Resume, ResumeProfile and ResumeScreening are one-to-one with Application.</w:t>
      </w:r>
    </w:p>
    <w:p>
      <w:pPr>
        <w:pStyle w:val="ListBullet"/>
      </w:pPr>
      <w:r>
        <w:t>Duplicate uploads replace Resume, ResumeProfile and ResumeScreening in MVP.</w:t>
      </w:r>
    </w:p>
    <w:p>
      <w:pPr>
        <w:pStyle w:val="ListBullet"/>
      </w:pPr>
      <w:r>
        <w:t>All entities include OrganizationId for tenant isolation.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Store AI structured content as JSON (nvarchar(max)) for MVP.</w:t>
      </w:r>
    </w:p>
    <w:p>
      <w:pPr>
        <w:pStyle w:val="ListBullet"/>
      </w:pPr>
      <w:r>
        <w:t>Normalized skill taxonomy is deferred to Post-MVP.</w:t>
      </w:r>
    </w:p>
    <w:p>
      <w:pPr>
        <w:pStyle w:val="ListBullet"/>
      </w:pPr>
      <w:r>
        <w:t>EF Core Fluent Configuration should enforce all unique constraints and relationships.</w:t>
      </w:r>
    </w:p>
    <w:p>
      <w:pPr>
        <w:pStyle w:val="ListBullet"/>
      </w:pPr>
      <w:r>
        <w:t>Future versions may introduce blob storage, versioning and soft-delete where applicable.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