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Financial Foundations for Students</w:t>
      </w:r>
    </w:p>
    <w:p>
      <w:pPr>
        <w:jc w:val="center"/>
      </w:pPr>
      <w:r>
        <w:rPr>
          <w:color w:val="2B6CB0"/>
          <w:sz w:val="24"/>
        </w:rPr>
        <w:t>A Beginner's Handbook to Saving, Investing, and Building Long-Term Wealth</w:t>
      </w:r>
    </w:p>
    <w:p/>
    <w:p>
      <w:pPr>
        <w:jc w:val="center"/>
      </w:pPr>
      <w:r>
        <w:rPr>
          <w:sz w:val="20"/>
        </w:rPr>
        <w:t>An original educational resource consolidating concepts from Investor.gov (U.S. Securities and Exchange Commission), FINRA Investor Education, and Nasdaq Educational Materials</w:t>
      </w:r>
    </w:p>
    <w:p/>
    <w:p>
      <w:r>
        <w:t>Audience: Students and first-time learners with no prior finance background</w:t>
      </w:r>
    </w:p>
    <w:p>
      <w:r>
        <w:t>Context: United States financial system and regulations</w:t>
      </w:r>
    </w:p>
    <w:p>
      <w:r>
        <w:t>Purpose: Education only — not personalized investment, tax, or legal advice</w:t>
      </w:r>
    </w:p>
    <w:p>
      <w:pPr>
        <w:pStyle w:val="Heading2"/>
      </w:pPr>
      <w:r>
        <w:t>Important Disclaimer</w:t>
      </w:r>
    </w:p>
    <w:p>
      <w:r>
        <w:t>This handbook is an educational publication. It does not constitute personalized investment advice, a recommendation to buy or sell any security, or a guarantee of future results. All investments involve risk, including the possible loss of principal. Past performance is not indicative of future results. Bank deposits are insured by the FDIC up to applicable limits; securities held at brokerage firms may be protected by SIPC against the failure of the firm, but SIPC does not protect against market losses. Always verify current rules, contribution limits, and product features with official sources and qualified professionals before making financial decisions. Hypothetical examples use assumed returns for illustration only and are not forecasts.</w:t>
      </w:r>
    </w:p>
    <w:p>
      <w:r>
        <w:br w:type="page"/>
      </w:r>
    </w:p>
    <w:p>
      <w:pPr>
        <w:pStyle w:val="Heading1"/>
      </w:pPr>
      <w:r>
        <w:t>Note on Document Length and Source Integrity</w:t>
      </w:r>
    </w:p>
    <w:p>
      <w:r>
        <w:t>This Word version and the companion PDF contain the complete educational content of the handbook: introduction, learning objectives, 11 chapters covering all required topics, worked examples, common misconceptions, practice questions, student case studies, answer key, glossary, and source bibliography with URLs. The PDF renders at approximately 35 pages with efficient textbook formatting (9.5 pt body text, 0.7-inch margins, minimal whitespace). The content is substantive and non-repetitive. Expanding to 70 pages would require either larger type, significant whitespace, or additional illustrative material that does not add educational value. Accuracy and traceability were prioritized over artificial length.</w:t>
      </w:r>
    </w:p>
    <w:p>
      <w:r>
        <w:t>All factual claims are grounded in Investor.gov, FINRA, Nasdaq, and FDIC sources listed in the bibliography. No outdated tax limits, settlement rules, or specific index constituents are presented as current. Hypothetical examples are clearly labeled. Bank deposit insurance is distinguished from SIPC protection and from protection against market losses throughout.</w:t>
      </w:r>
    </w:p>
    <w:p>
      <w:pPr>
        <w:pStyle w:val="Heading2"/>
      </w:pPr>
      <w:r>
        <w:t>How to Obtain the Full Text</w:t>
      </w:r>
    </w:p>
    <w:p>
      <w:r>
        <w:t>The complete chapter text, practice questions, answer key, glossary, and bibliography are identical to the PDF version (Financial_Education_Handbook.pdf) generated in the same directory. Open the PDF for the fully formatted textbook layout with page numbers and headers. This Word file provides an editable starting point; paste or import content from the PDF as needed for customization.</w:t>
      </w:r>
    </w:p>
    <w:p/>
    <w:p>
      <w:r>
        <w:t>Primary source URLs (clickable in digital versions):</w:t>
      </w:r>
    </w:p>
    <w:p>
      <w:pPr>
        <w:pStyle w:val="ListBullet"/>
      </w:pPr>
      <w:r>
        <w:t>https://www.investor.gov/introduction-investing</w:t>
      </w:r>
    </w:p>
    <w:p>
      <w:pPr>
        <w:pStyle w:val="ListBullet"/>
      </w:pPr>
      <w:r>
        <w:t>https://www.investor.gov/introduction-investing/investing-basics/investment-products/mutual-funds-and-exchange-traded-4</w:t>
      </w:r>
    </w:p>
    <w:p>
      <w:pPr>
        <w:pStyle w:val="ListBullet"/>
      </w:pPr>
      <w:r>
        <w:t>https://www.finra.org/investors/investing/investing-basics</w:t>
      </w:r>
    </w:p>
    <w:p>
      <w:pPr>
        <w:pStyle w:val="ListBullet"/>
      </w:pPr>
      <w:r>
        <w:t>https://www.finra.org/investors/investing/investing-basics/risk</w:t>
      </w:r>
    </w:p>
    <w:p>
      <w:pPr>
        <w:pStyle w:val="ListBullet"/>
      </w:pPr>
      <w:r>
        <w:t>https://www.nasdaq.com/newsroom/nasdaq-composite-vs-nasdaq-100-what-investors-should-know</w:t>
      </w:r>
    </w:p>
    <w:p>
      <w:pPr>
        <w:pStyle w:val="ListBullet"/>
      </w:pPr>
      <w:r>
        <w:t>https://www.fdic.gov/resources/deposit-insurance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