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0A37501D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DAB6C7B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2EB378F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A05A809" w14:textId="77777777" w:rsidR="00CF4290" w:rsidRPr="00D162B2" w:rsidRDefault="00CF4290" w:rsidP="00CF4290">
      <w:pPr>
        <w:rPr>
          <w:rFonts w:asciiTheme="minorHAnsi" w:hAnsiTheme="minorHAnsi" w:cstheme="minorHAnsi"/>
          <w:sz w:val="22"/>
          <w:szCs w:val="22"/>
        </w:rPr>
      </w:pPr>
    </w:p>
    <w:p w14:paraId="48186004" w14:textId="71405D7A" w:rsidR="00CF4290" w:rsidRPr="00D162B2" w:rsidRDefault="00CF4290" w:rsidP="3D514B0E">
      <w:pPr>
        <w:pStyle w:val="Title"/>
        <w:jc w:val="right"/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instrText xml:space="preserve"> SUBJECT  \* MERGEFORMAT </w:instrText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fldChar w:fldCharType="separate"/>
      </w:r>
      <w:r w:rsidR="00B616EB" w:rsidRPr="00D162B2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ALMP fleet managemen</w:t>
      </w:r>
      <w:r w:rsidR="008172B7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T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="008172B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817C24" w14:textId="757CA95F" w:rsidR="00CF4290" w:rsidRPr="00D162B2" w:rsidRDefault="0020275F" w:rsidP="3D514B0E">
      <w:pPr>
        <w:pStyle w:val="Title"/>
        <w:pBdr>
          <w:bottom w:val="single" w:sz="4" w:space="1" w:color="auto"/>
        </w:pBdr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Business Case</w:t>
      </w:r>
    </w:p>
    <w:p w14:paraId="41C8F396" w14:textId="77777777" w:rsidR="00CF4290" w:rsidRPr="00D162B2" w:rsidRDefault="00CF4290" w:rsidP="00CF4290">
      <w:pPr>
        <w:ind w:left="0"/>
        <w:rPr>
          <w:rFonts w:asciiTheme="minorHAnsi" w:hAnsiTheme="minorHAnsi" w:cstheme="minorHAnsi"/>
          <w:sz w:val="22"/>
          <w:szCs w:val="22"/>
          <w:lang w:val="de-DE"/>
        </w:rPr>
        <w:sectPr w:rsidR="00CF4290" w:rsidRPr="00D162B2" w:rsidSect="0055200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1EEE62D3" w14:textId="77777777" w:rsidR="007134D6" w:rsidRPr="00D162B2" w:rsidRDefault="007134D6" w:rsidP="007134D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134D6" w:rsidRPr="00D162B2" w14:paraId="78998915" w14:textId="77777777" w:rsidTr="007134D6">
        <w:trPr>
          <w:trHeight w:val="262"/>
        </w:trPr>
        <w:tc>
          <w:tcPr>
            <w:tcW w:w="9468" w:type="dxa"/>
            <w:gridSpan w:val="2"/>
            <w:shd w:val="pct5" w:color="000000" w:fill="FFFFFF"/>
          </w:tcPr>
          <w:p w14:paraId="3A520BC0" w14:textId="64508EA0" w:rsidR="007134D6" w:rsidRPr="00D162B2" w:rsidRDefault="0020275F" w:rsidP="00552008">
            <w:pPr>
              <w:pStyle w:val="TOC1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Business Case</w:t>
            </w:r>
          </w:p>
        </w:tc>
      </w:tr>
      <w:tr w:rsidR="007134D6" w:rsidRPr="00D162B2" w14:paraId="4CFD423A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352CDDA5" w14:textId="77777777" w:rsidR="007134D6" w:rsidRPr="00D162B2" w:rsidRDefault="007134D6" w:rsidP="007134D6">
            <w:pPr>
              <w:spacing w:before="40" w:after="40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</w:p>
        </w:tc>
        <w:tc>
          <w:tcPr>
            <w:tcW w:w="7290" w:type="dxa"/>
          </w:tcPr>
          <w:p w14:paraId="153FD5E4" w14:textId="5AC97DD7" w:rsidR="007134D6" w:rsidRPr="00D162B2" w:rsidRDefault="003650AA" w:rsidP="00AA5B21">
            <w:pPr>
              <w:pStyle w:val="Title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ALMP Fleet managemen</w:t>
            </w:r>
            <w:r w:rsidR="00EA0B0B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</w:t>
            </w:r>
          </w:p>
        </w:tc>
      </w:tr>
      <w:tr w:rsidR="007134D6" w:rsidRPr="00D162B2" w14:paraId="067EA009" w14:textId="77777777" w:rsidTr="007134D6">
        <w:trPr>
          <w:trHeight w:val="388"/>
        </w:trPr>
        <w:tc>
          <w:tcPr>
            <w:tcW w:w="2178" w:type="dxa"/>
            <w:shd w:val="clear" w:color="auto" w:fill="F2F2F2" w:themeFill="background1" w:themeFillShade="F2"/>
          </w:tcPr>
          <w:p w14:paraId="2AE27FF7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Sponsor</w:t>
            </w:r>
          </w:p>
        </w:tc>
        <w:tc>
          <w:tcPr>
            <w:tcW w:w="7290" w:type="dxa"/>
          </w:tcPr>
          <w:p w14:paraId="4E53F8DA" w14:textId="598E8370" w:rsidR="007134D6" w:rsidRPr="00D162B2" w:rsidRDefault="002F4F4E" w:rsidP="00552008">
            <w:pPr>
              <w:autoSpaceDE w:val="0"/>
              <w:autoSpaceDN w:val="0"/>
              <w:adjustRightInd w:val="0"/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Ramandeep Singh Virdi</w:t>
            </w:r>
          </w:p>
        </w:tc>
      </w:tr>
      <w:tr w:rsidR="007134D6" w:rsidRPr="00D162B2" w14:paraId="3FACDCE3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42CE2EC5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Manager:</w:t>
            </w:r>
          </w:p>
        </w:tc>
        <w:tc>
          <w:tcPr>
            <w:tcW w:w="7290" w:type="dxa"/>
          </w:tcPr>
          <w:p w14:paraId="7AE50990" w14:textId="54830F36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Arman Singh</w:t>
            </w:r>
          </w:p>
        </w:tc>
      </w:tr>
      <w:tr w:rsidR="007134D6" w:rsidRPr="00D162B2" w14:paraId="2AB2B44E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65A2C8CE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Technical Manager:</w:t>
            </w:r>
          </w:p>
        </w:tc>
        <w:tc>
          <w:tcPr>
            <w:tcW w:w="7290" w:type="dxa"/>
          </w:tcPr>
          <w:p w14:paraId="30FE6698" w14:textId="1A7B54A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Vinod Kumar Tiwari</w:t>
            </w:r>
          </w:p>
        </w:tc>
      </w:tr>
      <w:tr w:rsidR="007134D6" w:rsidRPr="00D162B2" w14:paraId="28A94D17" w14:textId="77777777" w:rsidTr="007134D6">
        <w:trPr>
          <w:cantSplit/>
          <w:trHeight w:val="447"/>
        </w:trPr>
        <w:tc>
          <w:tcPr>
            <w:tcW w:w="2178" w:type="dxa"/>
            <w:shd w:val="clear" w:color="auto" w:fill="F2F2F2" w:themeFill="background1" w:themeFillShade="F2"/>
          </w:tcPr>
          <w:p w14:paraId="24BBDB12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Owner:</w:t>
            </w:r>
          </w:p>
        </w:tc>
        <w:tc>
          <w:tcPr>
            <w:tcW w:w="7290" w:type="dxa"/>
          </w:tcPr>
          <w:p w14:paraId="55D006FF" w14:textId="57641C4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Dheeraj Pant</w:t>
            </w:r>
          </w:p>
        </w:tc>
      </w:tr>
    </w:tbl>
    <w:p w14:paraId="01FF26C7" w14:textId="77777777" w:rsidR="007134D6" w:rsidRPr="00D162B2" w:rsidRDefault="007134D6" w:rsidP="007134D6">
      <w:pPr>
        <w:pStyle w:val="Title"/>
        <w:rPr>
          <w:rFonts w:asciiTheme="minorHAnsi" w:eastAsiaTheme="minorHAnsi" w:hAnsiTheme="minorHAnsi" w:cstheme="minorHAnsi"/>
          <w:bCs w:val="0"/>
          <w:i/>
          <w:iCs/>
          <w:sz w:val="22"/>
          <w:szCs w:val="22"/>
        </w:rPr>
      </w:pPr>
    </w:p>
    <w:p w14:paraId="347F5558" w14:textId="77777777" w:rsidR="007134D6" w:rsidRPr="00D162B2" w:rsidRDefault="007134D6" w:rsidP="007134D6">
      <w:pPr>
        <w:spacing w:after="24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162B2">
        <w:rPr>
          <w:rFonts w:asciiTheme="minorHAnsi" w:hAnsiTheme="minorHAnsi" w:cstheme="minorHAnsi"/>
          <w:b/>
          <w:sz w:val="22"/>
          <w:szCs w:val="22"/>
          <w:u w:val="single"/>
        </w:rPr>
        <w:t>Document Control</w:t>
      </w:r>
    </w:p>
    <w:tbl>
      <w:tblPr>
        <w:tblW w:w="9401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1704"/>
        <w:gridCol w:w="1878"/>
        <w:gridCol w:w="1710"/>
        <w:gridCol w:w="1356"/>
        <w:gridCol w:w="1434"/>
      </w:tblGrid>
      <w:tr w:rsidR="00DB0803" w:rsidRPr="00D162B2" w14:paraId="528ED9AB" w14:textId="587D757F" w:rsidTr="00DB0803">
        <w:trPr>
          <w:trHeight w:val="528"/>
        </w:trPr>
        <w:tc>
          <w:tcPr>
            <w:tcW w:w="1319" w:type="dxa"/>
            <w:tcBorders>
              <w:bottom w:val="nil"/>
            </w:tcBorders>
            <w:shd w:val="clear" w:color="auto" w:fill="E7E6E6" w:themeFill="background2"/>
          </w:tcPr>
          <w:p w14:paraId="13F9DB87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Version No.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E7E6E6" w:themeFill="background2"/>
          </w:tcPr>
          <w:p w14:paraId="73678A41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878" w:type="dxa"/>
            <w:tcBorders>
              <w:bottom w:val="nil"/>
            </w:tcBorders>
            <w:shd w:val="clear" w:color="auto" w:fill="E7E6E6" w:themeFill="background2"/>
          </w:tcPr>
          <w:p w14:paraId="662FD300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E7E6E6" w:themeFill="background2"/>
          </w:tcPr>
          <w:p w14:paraId="53BE9CB6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Change History</w:t>
            </w:r>
          </w:p>
        </w:tc>
        <w:tc>
          <w:tcPr>
            <w:tcW w:w="1356" w:type="dxa"/>
            <w:tcBorders>
              <w:bottom w:val="nil"/>
            </w:tcBorders>
            <w:shd w:val="clear" w:color="auto" w:fill="E7E6E6" w:themeFill="background2"/>
          </w:tcPr>
          <w:p w14:paraId="0FEADFE4" w14:textId="1D58B964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1434" w:type="dxa"/>
            <w:tcBorders>
              <w:bottom w:val="nil"/>
            </w:tcBorders>
            <w:shd w:val="clear" w:color="auto" w:fill="E7E6E6" w:themeFill="background2"/>
          </w:tcPr>
          <w:p w14:paraId="60117E53" w14:textId="75C6DCAC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</w:tr>
      <w:tr w:rsidR="00DB0803" w:rsidRPr="00D162B2" w14:paraId="3FF686DA" w14:textId="4BB3D47E" w:rsidTr="00DB0803">
        <w:trPr>
          <w:trHeight w:val="221"/>
        </w:trPr>
        <w:tc>
          <w:tcPr>
            <w:tcW w:w="1319" w:type="dxa"/>
            <w:tcBorders>
              <w:top w:val="nil"/>
            </w:tcBorders>
          </w:tcPr>
          <w:p w14:paraId="4D415002" w14:textId="0D9EA6DA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14:paraId="5DA7433A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 w14:paraId="74CAF47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912593F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214F2B2C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4CEBC47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803" w:rsidRPr="00D162B2" w14:paraId="0610F107" w14:textId="2541FED9" w:rsidTr="00DB0803">
        <w:trPr>
          <w:trHeight w:val="221"/>
        </w:trPr>
        <w:tc>
          <w:tcPr>
            <w:tcW w:w="1319" w:type="dxa"/>
          </w:tcPr>
          <w:p w14:paraId="6FA01F2D" w14:textId="34D3613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 0.0.1</w:t>
            </w:r>
          </w:p>
        </w:tc>
        <w:tc>
          <w:tcPr>
            <w:tcW w:w="1704" w:type="dxa"/>
          </w:tcPr>
          <w:p w14:paraId="6CD8F436" w14:textId="5DB0381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12-10-2023</w:t>
            </w:r>
          </w:p>
        </w:tc>
        <w:tc>
          <w:tcPr>
            <w:tcW w:w="1878" w:type="dxa"/>
          </w:tcPr>
          <w:p w14:paraId="5A1DA6FD" w14:textId="0A1C01CC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Vinod Kumar Tiwari</w:t>
            </w:r>
          </w:p>
        </w:tc>
        <w:tc>
          <w:tcPr>
            <w:tcW w:w="1710" w:type="dxa"/>
          </w:tcPr>
          <w:p w14:paraId="3E9C1CF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</w:tcPr>
          <w:p w14:paraId="38F45191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</w:tcPr>
          <w:p w14:paraId="6FDA97D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B4839" w14:textId="77777777" w:rsidR="007134D6" w:rsidRPr="00D162B2" w:rsidRDefault="007134D6" w:rsidP="007134D6">
      <w:pPr>
        <w:spacing w:after="240"/>
        <w:ind w:left="355"/>
        <w:rPr>
          <w:rFonts w:asciiTheme="minorHAnsi" w:hAnsiTheme="minorHAnsi" w:cstheme="minorHAnsi"/>
          <w:sz w:val="22"/>
          <w:szCs w:val="22"/>
        </w:rPr>
      </w:pPr>
    </w:p>
    <w:p w14:paraId="233D381F" w14:textId="7E4F5AC3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  <w:bookmarkStart w:id="2" w:name="_Toc523878297"/>
      <w:bookmarkStart w:id="3" w:name="_Toc436203377"/>
      <w:bookmarkStart w:id="4" w:name="_Toc452813577"/>
      <w:bookmarkStart w:id="5" w:name="_Toc106079198"/>
      <w:bookmarkStart w:id="6" w:name="_Toc106079523"/>
      <w:bookmarkStart w:id="7" w:name="_Toc106079792"/>
      <w:bookmarkStart w:id="8" w:name="_Toc107027566"/>
      <w:bookmarkStart w:id="9" w:name="_Toc107027776"/>
      <w:bookmarkEnd w:id="0"/>
    </w:p>
    <w:p w14:paraId="4559D5B0" w14:textId="22679B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BCC1469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819CA64" w14:textId="507631F3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1670606" w14:textId="5E2BA32D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4B1FD795" w14:textId="1F9E3EA1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4D5759E" w14:textId="5C0DDA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A8B2C77" w14:textId="6835903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EB9182" w14:textId="0D3A132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07FD7A5D" w14:textId="224C084B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9E6FC29" w14:textId="0D64A5B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35F169" w14:textId="557B2F1F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1CB9A44" w14:textId="2AEA130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E88B71" w14:textId="1A1CB4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A43F001" w14:textId="7B5B333C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4C97749" w14:textId="6FF21A5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5E947F5" w14:textId="517A5F70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EAC38EE" w14:textId="1010FC39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6A8D08C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51292F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E9ED560" w14:textId="77777777" w:rsidR="0020275F" w:rsidRPr="00D162B2" w:rsidRDefault="0020275F" w:rsidP="0020275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67040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2E6CB518" w14:textId="77777777" w:rsidR="0020275F" w:rsidRPr="00D162B2" w:rsidRDefault="0020275F" w:rsidP="002A5D74">
          <w:pPr>
            <w:pStyle w:val="TOCHeading"/>
          </w:pPr>
          <w:r w:rsidRPr="00D162B2">
            <w:t>Contents</w:t>
          </w:r>
        </w:p>
        <w:p w14:paraId="7FEE9E12" w14:textId="7A33F873" w:rsidR="004765B9" w:rsidRPr="00D162B2" w:rsidRDefault="0020275F" w:rsidP="003C654D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hyperlink w:anchor="_Toc19004895" w:history="1"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1.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Executive Summary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_Toc19004895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330783" w14:textId="72805764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7" w:history="1">
            <w:r w:rsidR="003C654D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2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Project Description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_Toc19004897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B3E084" w14:textId="2B2074AD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8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3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Benefits</w:t>
            </w:r>
            <w:r w:rsidR="00A71CA6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, </w:t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Goals </w:t>
            </w:r>
            <w:r w:rsidR="00A71CA6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and </w:t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Measurement Criteria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_Toc19004898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B8FD13" w14:textId="14AF76EB" w:rsidR="004765B9" w:rsidRPr="00D162B2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899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4</w:t>
            </w:r>
            <w:r w:rsidR="004765B9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4765B9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4765B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Delivery Cost and </w:t>
            </w:r>
            <w:r w:rsidR="003C654D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Budget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_Toc19004899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4C1AD" w14:textId="592920A2" w:rsidR="004765B9" w:rsidRPr="00D162B2" w:rsidRDefault="00000000" w:rsidP="000C732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902" w:history="1">
            <w:r w:rsidR="00C00F6E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5</w:t>
            </w:r>
            <w:r w:rsidR="0034145C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34145C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0C7320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ROI and </w:t>
            </w:r>
            <w:r w:rsidR="00207239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Compliance</w:t>
            </w:r>
            <w:r w:rsidR="00765E2D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 Benefits</w:t>
            </w:r>
            <w:r w:rsidR="0034145C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_Toc19004902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67095F" w14:textId="398D299E" w:rsidR="004765B9" w:rsidRPr="00D162B2" w:rsidRDefault="00000000">
          <w:pPr>
            <w:pStyle w:val="TOC1"/>
            <w:tabs>
              <w:tab w:val="left" w:pos="660"/>
              <w:tab w:val="right" w:leader="dot" w:pos="8918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9004905" w:history="1">
            <w:r w:rsidR="000C7320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6</w:t>
            </w:r>
            <w:r w:rsidR="0034145C" w:rsidRPr="00D162B2">
              <w:rPr>
                <w:rStyle w:val="Hyperlink"/>
                <w:rFonts w:asciiTheme="minorHAnsi" w:hAnsiTheme="minorHAnsi" w:cstheme="minorHAnsi"/>
                <w:iCs/>
                <w:noProof/>
                <w:sz w:val="22"/>
                <w:szCs w:val="22"/>
              </w:rPr>
              <w:t>.</w:t>
            </w:r>
            <w:r w:rsidR="0034145C" w:rsidRPr="00D162B2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    </w:t>
            </w:r>
            <w:r w:rsidR="0034145C" w:rsidRPr="00D162B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Assumptions</w:t>
            </w:r>
            <w:r w:rsidR="0034145C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_Toc19004905 \h </w:instrTex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7258D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4765B9" w:rsidRPr="00D162B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273028" w14:textId="2D30B377" w:rsidR="0020275F" w:rsidRPr="00D162B2" w:rsidRDefault="0020275F" w:rsidP="0020275F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46F6E95" w14:textId="0CF33E93" w:rsidR="0020275F" w:rsidRPr="00D162B2" w:rsidRDefault="0020275F" w:rsidP="002A5D74">
      <w:pPr>
        <w:pStyle w:val="Heading1"/>
      </w:pPr>
      <w:r w:rsidRPr="00D162B2">
        <w:rPr>
          <w:i/>
          <w:iCs/>
          <w:color w:val="0000FF"/>
        </w:rPr>
        <w:br w:type="page"/>
      </w:r>
      <w:bookmarkStart w:id="10" w:name="_Toc19004895"/>
      <w:r w:rsidRPr="00D162B2">
        <w:lastRenderedPageBreak/>
        <w:t>E</w:t>
      </w:r>
      <w:bookmarkStart w:id="11" w:name="_Toc196645220"/>
      <w:bookmarkEnd w:id="11"/>
      <w:r w:rsidR="00455432" w:rsidRPr="00D162B2">
        <w:t>x</w:t>
      </w:r>
      <w:r w:rsidR="002604CF" w:rsidRPr="00D162B2">
        <w:t>ECUTIVE</w:t>
      </w:r>
      <w:r w:rsidRPr="00D162B2">
        <w:t xml:space="preserve"> SUMMARY</w:t>
      </w:r>
      <w:bookmarkEnd w:id="10"/>
    </w:p>
    <w:p w14:paraId="663C3FBD" w14:textId="1A1A5752" w:rsidR="00031C37" w:rsidRPr="00D162B2" w:rsidRDefault="00031C37" w:rsidP="00385D28">
      <w:pPr>
        <w:ind w:left="540"/>
        <w:jc w:val="lef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ALMP </w:t>
      </w:r>
      <w:r w:rsidR="00721D1F" w:rsidRPr="00D162B2">
        <w:rPr>
          <w:rFonts w:asciiTheme="minorHAnsi" w:eastAsia="Arial" w:hAnsiTheme="minorHAnsi" w:cstheme="minorHAnsi"/>
          <w:sz w:val="22"/>
          <w:szCs w:val="22"/>
        </w:rPr>
        <w:t xml:space="preserve">integrated end to end transparency &amp; control on direct and indirect maintenance cost and fleet downtime losses </w:t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will be the next innovative fleet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m</w:t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anagement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sz w:val="22"/>
          <w:szCs w:val="22"/>
        </w:rPr>
        <w:t>olution to improve productivity and redu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>ction in cost by making the effective utilization of drivers and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 the available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vehicles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by </w:t>
      </w:r>
      <w:r w:rsidR="00337821" w:rsidRPr="00D162B2">
        <w:rPr>
          <w:rFonts w:asciiTheme="minorHAnsi" w:eastAsia="Arial" w:hAnsiTheme="minorHAnsi" w:cstheme="minorHAnsi"/>
          <w:sz w:val="22"/>
          <w:szCs w:val="22"/>
        </w:rPr>
        <w:t>integrating with the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smart devices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which can help 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in real time vehicle data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tracking</w:t>
      </w:r>
      <w:r w:rsidR="00D55459" w:rsidRPr="00D162B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with A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mericana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L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ast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M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 xml:space="preserve">ile 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>P</w:t>
      </w:r>
      <w:r w:rsidR="00082B98" w:rsidRPr="00D162B2">
        <w:rPr>
          <w:rFonts w:asciiTheme="minorHAnsi" w:eastAsia="Arial" w:hAnsiTheme="minorHAnsi" w:cstheme="minorHAnsi"/>
          <w:sz w:val="22"/>
          <w:szCs w:val="22"/>
        </w:rPr>
        <w:t>latform (ALMP)</w:t>
      </w:r>
      <w:r w:rsidR="00385D28" w:rsidRPr="00D162B2">
        <w:rPr>
          <w:rFonts w:asciiTheme="minorHAnsi" w:eastAsia="Arial" w:hAnsiTheme="minorHAnsi" w:cstheme="minorHAnsi"/>
          <w:sz w:val="22"/>
          <w:szCs w:val="22"/>
        </w:rPr>
        <w:t xml:space="preserve"> services to achieve the following set of business goals:</w:t>
      </w:r>
    </w:p>
    <w:p w14:paraId="7CAA1C4B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Driving Behavior Assessment</w:t>
      </w:r>
    </w:p>
    <w:p w14:paraId="250C7451" w14:textId="5F7F4D8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Crash Alerts</w:t>
      </w:r>
    </w:p>
    <w:p w14:paraId="69D6FFB2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Training Requirement for Safe Driving</w:t>
      </w:r>
    </w:p>
    <w:p w14:paraId="781C394F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On-trip &amp; off-trip Monitoring</w:t>
      </w:r>
    </w:p>
    <w:p w14:paraId="6DCF903F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Green Points Strategy for Riders</w:t>
      </w:r>
    </w:p>
    <w:p w14:paraId="0320B4B0" w14:textId="20EE757E" w:rsidR="00721D1F" w:rsidRPr="00AA5B21" w:rsidRDefault="003650AA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Assets Utilization</w:t>
      </w:r>
    </w:p>
    <w:p w14:paraId="2E965B34" w14:textId="77777777" w:rsidR="0020275F" w:rsidRPr="00D162B2" w:rsidRDefault="0020275F" w:rsidP="002A5D74">
      <w:pPr>
        <w:pStyle w:val="Heading1"/>
      </w:pPr>
      <w:bookmarkStart w:id="12" w:name="_Toc196645224"/>
      <w:bookmarkStart w:id="13" w:name="_Toc19004897"/>
      <w:r w:rsidRPr="00D162B2">
        <w:t>P</w:t>
      </w:r>
      <w:bookmarkEnd w:id="12"/>
      <w:r w:rsidRPr="00D162B2">
        <w:t>ROJECT DESCRIPTION</w:t>
      </w:r>
      <w:bookmarkEnd w:id="13"/>
    </w:p>
    <w:p w14:paraId="5B99869D" w14:textId="47B129D9" w:rsidR="008D757C" w:rsidRPr="00D162B2" w:rsidRDefault="00702C87" w:rsidP="00A26273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ALMP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</w:t>
      </w:r>
      <w:r w:rsidR="00B160D1" w:rsidRPr="00D162B2">
        <w:rPr>
          <w:rFonts w:asciiTheme="minorHAnsi" w:eastAsia="Arial" w:hAnsiTheme="minorHAnsi" w:cstheme="minorHAnsi"/>
          <w:iCs/>
          <w:sz w:val="22"/>
          <w:szCs w:val="22"/>
        </w:rPr>
        <w:t>ith an integration approach</w:t>
      </w:r>
      <w:r w:rsidR="00D174B9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and fleet management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will be helping in reduction of the run cost for drivers and vehicles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with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Americana Last Mile Platform product to achieve more efficient utilization of riders and vehicles to optimize journey and order delivery experience.</w:t>
      </w:r>
    </w:p>
    <w:p w14:paraId="359B384D" w14:textId="58E0B499" w:rsidR="0045390E" w:rsidRPr="00D162B2" w:rsidRDefault="0045390E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noProof/>
          <w:sz w:val="22"/>
          <w:szCs w:val="22"/>
        </w:rPr>
        <w:drawing>
          <wp:inline distT="0" distB="0" distL="0" distR="0" wp14:anchorId="3F7D34DD" wp14:editId="4161CF9D">
            <wp:extent cx="2629035" cy="1968601"/>
            <wp:effectExtent l="0" t="0" r="0" b="0"/>
            <wp:docPr id="20513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12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F6F" w14:textId="77777777" w:rsidR="00AB60A1" w:rsidRPr="00D162B2" w:rsidRDefault="00AB60A1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</w:p>
    <w:p w14:paraId="2C049BD6" w14:textId="504261C3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Automate Feedback for Drivers</w:t>
      </w:r>
      <w:r w:rsidR="0066416A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based on Driver Behavior Assessment</w:t>
      </w:r>
    </w:p>
    <w:p w14:paraId="7FC7D3C4" w14:textId="5B3E75E9" w:rsidR="000F39AD" w:rsidRPr="00D162B2" w:rsidRDefault="0066416A" w:rsidP="000F39AD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Performance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R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eport</w:t>
      </w:r>
    </w:p>
    <w:p w14:paraId="1D32C354" w14:textId="7587868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Training</w:t>
      </w:r>
    </w:p>
    <w:p w14:paraId="471B2E92" w14:textId="0A7305F5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Prevent unsafe </w:t>
      </w:r>
      <w:r w:rsidR="00894CDC" w:rsidRPr="00D162B2">
        <w:rPr>
          <w:rFonts w:asciiTheme="minorHAnsi" w:eastAsia="Arial" w:hAnsiTheme="minorHAnsi" w:cstheme="minorHAnsi"/>
          <w:iCs/>
          <w:sz w:val="22"/>
          <w:szCs w:val="22"/>
        </w:rPr>
        <w:t>driving.</w:t>
      </w:r>
    </w:p>
    <w:p w14:paraId="5BEF82B3" w14:textId="35A456D6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Management</w:t>
      </w:r>
    </w:p>
    <w:p w14:paraId="02204637" w14:textId="0E7C88CE" w:rsidR="00D55459" w:rsidRPr="00D162B2" w:rsidRDefault="0066416A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Crash Alert</w:t>
      </w:r>
    </w:p>
    <w:p w14:paraId="3D25F9F0" w14:textId="61E19BA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Over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peed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larm</w:t>
      </w:r>
    </w:p>
    <w:p w14:paraId="46BD0F51" w14:textId="3FF211AA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Accident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1439E796" w14:textId="4D95557E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SMS </w:t>
      </w:r>
      <w:r w:rsidR="00747D7E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2A0CB15C" w14:textId="5AC1080D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Optimize Fleet Delivery Routes</w:t>
      </w:r>
      <w:r w:rsidR="000F39AD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with On-trip &amp; off-trip Monitoring.</w:t>
      </w:r>
    </w:p>
    <w:p w14:paraId="726B4CBB" w14:textId="03CA606D" w:rsidR="0066416A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Fleet live tracking</w:t>
      </w:r>
    </w:p>
    <w:p w14:paraId="3AB12BA9" w14:textId="74A22863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Geo fencing</w:t>
      </w:r>
    </w:p>
    <w:p w14:paraId="197199C3" w14:textId="05204A78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lastRenderedPageBreak/>
        <w:t>Route allocation</w:t>
      </w:r>
    </w:p>
    <w:p w14:paraId="7B3FE9FC" w14:textId="68BB26F4" w:rsidR="0020275F" w:rsidRPr="00D162B2" w:rsidRDefault="0020275F" w:rsidP="00A26273">
      <w:pPr>
        <w:pStyle w:val="BodyText"/>
        <w:ind w:left="0"/>
        <w:rPr>
          <w:rFonts w:asciiTheme="minorHAnsi" w:eastAsia="Arial" w:hAnsiTheme="minorHAnsi" w:cstheme="minorHAnsi"/>
          <w:sz w:val="22"/>
          <w:szCs w:val="22"/>
        </w:rPr>
      </w:pPr>
    </w:p>
    <w:p w14:paraId="4A522D7D" w14:textId="0BFBC873" w:rsidR="00F50F0B" w:rsidRPr="00D162B2" w:rsidRDefault="00F50F0B" w:rsidP="002A5D74">
      <w:pPr>
        <w:pStyle w:val="Heading1"/>
        <w:rPr>
          <w:i/>
        </w:rPr>
      </w:pPr>
      <w:bookmarkStart w:id="14" w:name="_Toc50539184"/>
      <w:bookmarkStart w:id="15" w:name="_Toc51749741"/>
      <w:bookmarkStart w:id="16" w:name="_Toc64454305"/>
      <w:bookmarkStart w:id="17" w:name="_Toc19004898"/>
      <w:r w:rsidRPr="00D162B2">
        <w:t>Benefits</w:t>
      </w:r>
      <w:bookmarkEnd w:id="14"/>
      <w:bookmarkEnd w:id="15"/>
      <w:bookmarkEnd w:id="16"/>
      <w:r w:rsidR="00CD062B" w:rsidRPr="00D162B2">
        <w:t xml:space="preserve"> </w:t>
      </w:r>
      <w:r w:rsidRPr="00D162B2">
        <w:t>Goals</w:t>
      </w:r>
      <w:bookmarkEnd w:id="17"/>
      <w:r w:rsidR="00A71CA6" w:rsidRPr="00D162B2">
        <w:t xml:space="preserve"> and Measurement criteria</w:t>
      </w:r>
    </w:p>
    <w:p w14:paraId="73A2D80B" w14:textId="7016346D" w:rsidR="000B6145" w:rsidRPr="00C06FBD" w:rsidRDefault="00F9684A" w:rsidP="00C06FBD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With ALMP fleet service operations profitability with technology solutions will be 360-degree improvements</w:t>
      </w:r>
      <w:r w:rsidR="000B6145" w:rsidRPr="00D162B2">
        <w:rPr>
          <w:rFonts w:asciiTheme="minorHAnsi" w:eastAsia="Arial" w:hAnsiTheme="minorHAnsi" w:cstheme="minorHAnsi"/>
          <w:iCs/>
          <w:sz w:val="22"/>
          <w:szCs w:val="22"/>
        </w:rPr>
        <w:t>.</w:t>
      </w:r>
    </w:p>
    <w:p w14:paraId="464D7412" w14:textId="7AF701DE" w:rsidR="000B6145" w:rsidRPr="00D162B2" w:rsidRDefault="000B6145" w:rsidP="00F9684A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Core Benefits</w:t>
      </w:r>
    </w:p>
    <w:p w14:paraId="11AA89B3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workforce productivity</w:t>
      </w:r>
    </w:p>
    <w:p w14:paraId="56715BD6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vehicle utilization</w:t>
      </w:r>
    </w:p>
    <w:p w14:paraId="55DD0957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Improved maintenance management</w:t>
      </w:r>
    </w:p>
    <w:p w14:paraId="1BBC3E53" w14:textId="0BD85662" w:rsidR="00F9684A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Reduction in fuel</w:t>
      </w:r>
      <w:r w:rsidR="00C06FBD">
        <w:rPr>
          <w:rFonts w:asciiTheme="minorHAnsi" w:eastAsia="Arial" w:hAnsiTheme="minorHAnsi" w:cstheme="minorHAnsi"/>
          <w:iCs/>
          <w:sz w:val="22"/>
          <w:szCs w:val="22"/>
        </w:rPr>
        <w:t xml:space="preserve"> and vehicle 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theft</w:t>
      </w:r>
    </w:p>
    <w:p w14:paraId="1FAFC953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Reduced vehicle downtime</w:t>
      </w:r>
    </w:p>
    <w:p w14:paraId="35CB4075" w14:textId="77777777" w:rsidR="00F9684A" w:rsidRPr="00D162B2" w:rsidRDefault="00F9684A" w:rsidP="00F9684A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Reduction repair cost</w:t>
      </w:r>
    </w:p>
    <w:p w14:paraId="5B6F3C88" w14:textId="0BA5EB6F" w:rsidR="00DB2D16" w:rsidRPr="00D162B2" w:rsidRDefault="00F9684A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Reduction in </w:t>
      </w:r>
      <w:r w:rsidR="00734148">
        <w:rPr>
          <w:rFonts w:asciiTheme="minorHAnsi" w:eastAsia="Arial" w:hAnsiTheme="minorHAnsi" w:cstheme="minorHAnsi"/>
          <w:iCs/>
          <w:sz w:val="22"/>
          <w:szCs w:val="22"/>
        </w:rPr>
        <w:t>v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ehicle failures</w:t>
      </w:r>
    </w:p>
    <w:p w14:paraId="01BC795C" w14:textId="77777777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</w:p>
    <w:p w14:paraId="288F785F" w14:textId="25C4E19D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Value Matrix</w:t>
      </w:r>
    </w:p>
    <w:p w14:paraId="3A99B71D" w14:textId="27B4DF6B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Tracking and Availability</w:t>
      </w:r>
    </w:p>
    <w:p w14:paraId="50C4D7BC" w14:textId="51A3B5F5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Driving Behavior Rating</w:t>
      </w:r>
    </w:p>
    <w:p w14:paraId="5C9570A7" w14:textId="01661C9E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Maintenance Cost &amp; Time Reporting</w:t>
      </w:r>
    </w:p>
    <w:p w14:paraId="3D777F4F" w14:textId="73A93EF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Fuel Maintenance</w:t>
      </w:r>
    </w:p>
    <w:p w14:paraId="42E431C5" w14:textId="645D372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Past Performance</w:t>
      </w:r>
    </w:p>
    <w:p w14:paraId="30CB757C" w14:textId="77777777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</w:p>
    <w:p w14:paraId="6C2DF5C0" w14:textId="394A848C" w:rsidR="00CD062B" w:rsidRPr="00D162B2" w:rsidRDefault="00CD062B" w:rsidP="00CD062B">
      <w:pPr>
        <w:pStyle w:val="BodyText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Business Intelligence</w:t>
      </w:r>
    </w:p>
    <w:p w14:paraId="76EACC2E" w14:textId="19F3BD20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Driving behavior analysis</w:t>
      </w:r>
    </w:p>
    <w:p w14:paraId="5E456997" w14:textId="0DBA6AE2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Speed analysis</w:t>
      </w:r>
    </w:p>
    <w:p w14:paraId="61780ED8" w14:textId="756360B9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aging comparison.</w:t>
      </w:r>
    </w:p>
    <w:p w14:paraId="321EC97F" w14:textId="0AEF077B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maintenance cost analysis &amp; forecasting</w:t>
      </w:r>
    </w:p>
    <w:p w14:paraId="5D623740" w14:textId="35A40447" w:rsidR="00CD062B" w:rsidRPr="00D162B2" w:rsidRDefault="00CD062B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Vehicle performance scoring</w:t>
      </w:r>
    </w:p>
    <w:p w14:paraId="1DDA3DD7" w14:textId="77777777" w:rsidR="00CD062B" w:rsidRPr="00D162B2" w:rsidRDefault="00CD062B" w:rsidP="00CD062B">
      <w:pPr>
        <w:pStyle w:val="BodyText"/>
        <w:ind w:left="720"/>
        <w:rPr>
          <w:rFonts w:asciiTheme="minorHAnsi" w:eastAsia="Arial" w:hAnsiTheme="minorHAnsi" w:cstheme="minorHAnsi"/>
          <w:iCs/>
          <w:sz w:val="22"/>
          <w:szCs w:val="22"/>
        </w:rPr>
      </w:pPr>
    </w:p>
    <w:p w14:paraId="39846C5E" w14:textId="1EDA6589" w:rsidR="00CD062B" w:rsidRPr="00D162B2" w:rsidRDefault="000B6145" w:rsidP="00CD062B">
      <w:pPr>
        <w:pStyle w:val="BodyText"/>
        <w:ind w:left="720"/>
        <w:rPr>
          <w:rFonts w:asciiTheme="minorHAnsi" w:eastAsia="Arial" w:hAnsiTheme="minorHAnsi" w:cstheme="minorHAnsi"/>
          <w:b/>
          <w:bCs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b/>
          <w:bCs/>
          <w:iCs/>
          <w:sz w:val="22"/>
          <w:szCs w:val="22"/>
        </w:rPr>
        <w:t>Business Goal</w:t>
      </w:r>
    </w:p>
    <w:p w14:paraId="266DE338" w14:textId="229166DD" w:rsidR="00CD062B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Distance Travelled and advanced reporting.</w:t>
      </w:r>
    </w:p>
    <w:p w14:paraId="03A3A6D6" w14:textId="243B8837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Measure and optimize fleet performance to meet business </w:t>
      </w:r>
      <w:r w:rsidR="00734148" w:rsidRPr="00D162B2">
        <w:rPr>
          <w:rFonts w:asciiTheme="minorHAnsi" w:eastAsia="Arial" w:hAnsiTheme="minorHAnsi" w:cstheme="minorHAnsi"/>
          <w:iCs/>
          <w:sz w:val="22"/>
          <w:szCs w:val="22"/>
        </w:rPr>
        <w:t>goals.</w:t>
      </w:r>
    </w:p>
    <w:p w14:paraId="52BDDA58" w14:textId="33355DF4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Use real-time &amp; historical data trends for making quantifiable business decisions.</w:t>
      </w:r>
    </w:p>
    <w:p w14:paraId="2E237C68" w14:textId="216224A5" w:rsidR="000B6145" w:rsidRPr="00D162B2" w:rsidRDefault="000B6145" w:rsidP="00CD062B">
      <w:pPr>
        <w:pStyle w:val="BodyText"/>
        <w:numPr>
          <w:ilvl w:val="0"/>
          <w:numId w:val="43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Cut operating expenses and improve fleet productivity.</w:t>
      </w:r>
    </w:p>
    <w:p w14:paraId="761C7F86" w14:textId="1A231782" w:rsidR="00AD5870" w:rsidRPr="00D162B2" w:rsidRDefault="00AD5870" w:rsidP="00E37D27">
      <w:pPr>
        <w:pStyle w:val="BodyText"/>
        <w:ind w:left="0"/>
        <w:rPr>
          <w:rFonts w:asciiTheme="minorHAnsi" w:eastAsia="Arial" w:hAnsiTheme="minorHAnsi" w:cstheme="minorHAnsi"/>
          <w:i/>
          <w:color w:val="0000FF"/>
          <w:sz w:val="22"/>
          <w:szCs w:val="22"/>
        </w:rPr>
      </w:pPr>
    </w:p>
    <w:p w14:paraId="7B06E964" w14:textId="2A431FA7" w:rsidR="00603DB5" w:rsidRPr="00D162B2" w:rsidRDefault="0020275F" w:rsidP="002A5D74">
      <w:pPr>
        <w:pStyle w:val="Heading1"/>
      </w:pPr>
      <w:bookmarkStart w:id="18" w:name="_Toc19004899"/>
      <w:r w:rsidRPr="00D162B2">
        <w:lastRenderedPageBreak/>
        <w:t>Delivery</w:t>
      </w:r>
      <w:r w:rsidR="00F50F0B" w:rsidRPr="00D162B2">
        <w:t xml:space="preserve"> Cost and </w:t>
      </w:r>
      <w:bookmarkEnd w:id="18"/>
      <w:r w:rsidR="009F5AF0" w:rsidRPr="00D162B2">
        <w:t>Budget</w:t>
      </w:r>
    </w:p>
    <w:p w14:paraId="509E797B" w14:textId="22BE2727" w:rsidR="00734148" w:rsidRPr="00734148" w:rsidRDefault="00CA06B8" w:rsidP="00734148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D162B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ALMP platform integrated fleet management solution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will initially require </w:t>
      </w:r>
      <w:r w:rsidR="007D049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having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smart devices enablement on vehicles available with the drivers. Where with different markets we can consider the device costing with breakup marketwise cost will be as per below table: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CA06B8" w:rsidRPr="00CA06B8" w14:paraId="747FC70A" w14:textId="77777777" w:rsidTr="00CA06B8">
        <w:trPr>
          <w:trHeight w:val="29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972887F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39EB6181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Total Drivers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160864F6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B15F5B3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Expected Cost ($ per year)</w:t>
            </w:r>
          </w:p>
        </w:tc>
      </w:tr>
      <w:tr w:rsidR="00CA06B8" w:rsidRPr="00CA06B8" w14:paraId="12F36480" w14:textId="77777777" w:rsidTr="00CA06B8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3C3DD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DF197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66AA14CE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($ per year)</w:t>
            </w:r>
          </w:p>
        </w:tc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D12B5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A06B8" w:rsidRPr="00CA06B8" w14:paraId="68F9F28C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3459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Bahrain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06E97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275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896C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C3A8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33,000.00 </w:t>
            </w:r>
          </w:p>
        </w:tc>
      </w:tr>
      <w:tr w:rsidR="00CA06B8" w:rsidRPr="00CA06B8" w14:paraId="067059A3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E1F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UAE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C8DCA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2,695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40EA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5C9B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323,400.00 </w:t>
            </w:r>
          </w:p>
        </w:tc>
      </w:tr>
      <w:tr w:rsidR="00CA06B8" w:rsidRPr="00CA06B8" w14:paraId="54202A46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85F4" w14:textId="731083FB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Kuwait</w:t>
            </w:r>
            <w:r w:rsidR="00FE2BE4" w:rsidRPr="00ED13F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9CE8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1,192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6641F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CC0E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143,040.00 </w:t>
            </w:r>
          </w:p>
        </w:tc>
      </w:tr>
      <w:tr w:rsidR="00CA06B8" w:rsidRPr="00CA06B8" w14:paraId="32700B0C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29C90" w14:textId="5BA417E9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Egypt</w:t>
            </w:r>
            <w:r w:rsidR="00FE2BE4" w:rsidRPr="00ED13FA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D380D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1,601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C0864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AA9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192,120.00 </w:t>
            </w:r>
          </w:p>
        </w:tc>
      </w:tr>
      <w:tr w:rsidR="00CA06B8" w:rsidRPr="00CA06B8" w14:paraId="0E01A223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A62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7C585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1498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603B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2,520.00 </w:t>
            </w:r>
          </w:p>
        </w:tc>
      </w:tr>
      <w:tr w:rsidR="00CA06B8" w:rsidRPr="00CA06B8" w14:paraId="7D807C89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5BF00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Qatar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D5C3C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420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83FB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1C9C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50,400.00 </w:t>
            </w:r>
          </w:p>
        </w:tc>
      </w:tr>
      <w:tr w:rsidR="00CA06B8" w:rsidRPr="00CA06B8" w14:paraId="6DFDE6C6" w14:textId="77777777" w:rsidTr="00CA06B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69B3D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KSA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E5C95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157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AFC7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120.00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E0B22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18,840.00 </w:t>
            </w:r>
          </w:p>
        </w:tc>
      </w:tr>
      <w:tr w:rsidR="00CA06B8" w:rsidRPr="00CA06B8" w14:paraId="42A83793" w14:textId="77777777" w:rsidTr="00CA06B8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873" w14:textId="77777777" w:rsidR="00CA06B8" w:rsidRPr="00CA06B8" w:rsidRDefault="00CA06B8" w:rsidP="00CA06B8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9A9F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8D3F" w14:textId="77777777" w:rsidR="00CA06B8" w:rsidRPr="00CA06B8" w:rsidRDefault="00CA06B8" w:rsidP="00CA06B8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684D" w14:textId="77777777" w:rsidR="00CA06B8" w:rsidRPr="00CA06B8" w:rsidRDefault="00CA06B8" w:rsidP="00CA06B8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A06B8" w:rsidRPr="00CA06B8" w14:paraId="67EDC67F" w14:textId="77777777" w:rsidTr="00CA06B8">
        <w:trPr>
          <w:trHeight w:val="300"/>
        </w:trPr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8E7EE" w14:textId="77777777" w:rsidR="00CA06B8" w:rsidRPr="00CA06B8" w:rsidRDefault="00CA06B8" w:rsidP="00CA06B8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Total Delivery Cost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67405" w14:textId="77777777" w:rsidR="00CA06B8" w:rsidRPr="00CA06B8" w:rsidRDefault="00CA06B8" w:rsidP="00CA06B8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A06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$763,320 </w:t>
            </w:r>
          </w:p>
        </w:tc>
      </w:tr>
    </w:tbl>
    <w:p w14:paraId="6323867E" w14:textId="655B984D" w:rsidR="0062553B" w:rsidRDefault="00FE2BE4" w:rsidP="00BD6B70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*</w:t>
      </w:r>
      <w:r w:rsidR="00D4602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</w:t>
      </w:r>
      <w:r w:rsidR="00CA06B8"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Pilot </w:t>
      </w:r>
      <w:r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markets in </w:t>
      </w:r>
      <w:r w:rsidR="00CA06B8" w:rsidRPr="00FE2BE4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FY-24</w:t>
      </w:r>
    </w:p>
    <w:p w14:paraId="2FB696E6" w14:textId="77777777" w:rsidR="00BD6B70" w:rsidRPr="00BD6B70" w:rsidRDefault="00BD6B70" w:rsidP="00BD6B70">
      <w:pPr>
        <w:pStyle w:val="BodyText"/>
        <w:rPr>
          <w:rFonts w:eastAsia="Arial"/>
        </w:rPr>
      </w:pPr>
    </w:p>
    <w:p w14:paraId="6C80A41B" w14:textId="790A6CA3" w:rsidR="00602ABE" w:rsidRPr="00080372" w:rsidRDefault="00BD6B70" w:rsidP="00080372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</w:pP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Once the vehicles will be ready with the smart GPS devices further with existing ALMP platform services needs to be integrated with the smart device provider services via real-time basis or with API </w:t>
      </w:r>
      <w:r w:rsidR="00602ABE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based</w:t>
      </w:r>
      <w:r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integration mechanism for that further there will be infra and licenses cost will be as per below with Capex and Opex budget with the following details: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</w:tblGrid>
      <w:tr w:rsidR="00552411" w:rsidRPr="00552411" w14:paraId="3FF95271" w14:textId="77777777" w:rsidTr="00552411">
        <w:trPr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58228947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Cloud Infra and Licenses Cost</w:t>
            </w:r>
          </w:p>
        </w:tc>
      </w:tr>
      <w:tr w:rsidR="00552411" w:rsidRPr="00552411" w14:paraId="3C72C23E" w14:textId="77777777" w:rsidTr="00552411">
        <w:trPr>
          <w:trHeight w:val="29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ADC973C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Environments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5BA2BEFF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Items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D86338D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Unit Price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07465D0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Expected Cost ($ per year)</w:t>
            </w:r>
          </w:p>
        </w:tc>
      </w:tr>
      <w:tr w:rsidR="00552411" w:rsidRPr="00552411" w14:paraId="684298F2" w14:textId="77777777" w:rsidTr="00552411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28ABC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10958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5302D8A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b/>
                <w:bCs/>
                <w:color w:val="000000"/>
                <w:sz w:val="16"/>
                <w:szCs w:val="16"/>
              </w:rPr>
              <w:t>($ per month)</w:t>
            </w: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FE64A" w14:textId="77777777" w:rsidR="00552411" w:rsidRPr="00552411" w:rsidRDefault="00552411" w:rsidP="0055241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52411" w:rsidRPr="00552411" w14:paraId="4E889B9A" w14:textId="77777777" w:rsidTr="00552411">
        <w:trPr>
          <w:trHeight w:val="37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639D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DEV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466DC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DEV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AE42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2,343.09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A5E2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28,117.06 </w:t>
            </w:r>
          </w:p>
        </w:tc>
      </w:tr>
      <w:tr w:rsidR="00552411" w:rsidRPr="00552411" w14:paraId="1BAA9284" w14:textId="77777777" w:rsidTr="00552411">
        <w:trPr>
          <w:trHeight w:val="32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64E3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QA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47E8E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QA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0C37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2,343.09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972EB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28,117.06 </w:t>
            </w:r>
          </w:p>
        </w:tc>
      </w:tr>
      <w:tr w:rsidR="00552411" w:rsidRPr="00552411" w14:paraId="159AF5E7" w14:textId="77777777" w:rsidTr="00552411">
        <w:trPr>
          <w:trHeight w:val="369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3901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eastAsia="Arial" w:hAnsiTheme="minorHAnsi" w:cstheme="minorHAnsi"/>
                <w:color w:val="000000"/>
                <w:sz w:val="16"/>
                <w:szCs w:val="16"/>
              </w:rPr>
              <w:t>UAT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CC44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UAT ENVIRONMENT (CAPEX)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42B8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3,514.63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B438A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42,175.58 </w:t>
            </w:r>
          </w:p>
        </w:tc>
      </w:tr>
      <w:tr w:rsidR="00552411" w:rsidRPr="00552411" w14:paraId="70960E43" w14:textId="77777777" w:rsidTr="00552411">
        <w:trPr>
          <w:trHeight w:val="225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60A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E5CB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PROD ENVIRONENT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6667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11,715.44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4619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140,585.28 </w:t>
            </w:r>
          </w:p>
        </w:tc>
      </w:tr>
      <w:tr w:rsidR="00552411" w:rsidRPr="00552411" w14:paraId="1CE90A10" w14:textId="77777777" w:rsidTr="00552411">
        <w:trPr>
          <w:trHeight w:val="81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E10BB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4C174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ALMP CLOUD DR ENVIRONMENT (OPEX)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7215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1,171.54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B5BAE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14,058.53 </w:t>
            </w:r>
          </w:p>
        </w:tc>
      </w:tr>
      <w:tr w:rsidR="00552411" w:rsidRPr="00552411" w14:paraId="3AAFB88B" w14:textId="77777777" w:rsidTr="00552411">
        <w:trPr>
          <w:trHeight w:val="306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3D836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Licenses &amp; APIs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A65A2" w14:textId="77777777" w:rsidR="00552411" w:rsidRPr="00552411" w:rsidRDefault="00552411" w:rsidP="00552411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Google Maps, Monitoring, Atlassian, Confluent, API etc. (CAPEX+OPEX)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E5C6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6,000.00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A251" w14:textId="77777777" w:rsidR="00552411" w:rsidRPr="00552411" w:rsidRDefault="00552411" w:rsidP="00552411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524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$                                                     72,000.00 </w:t>
            </w:r>
          </w:p>
        </w:tc>
      </w:tr>
    </w:tbl>
    <w:p w14:paraId="3BA775F3" w14:textId="076E7492" w:rsidR="00080372" w:rsidRDefault="00080372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all the spending below will be the cost of delivery of Fleet Management System with ALMP integration scope:</w:t>
      </w:r>
    </w:p>
    <w:tbl>
      <w:tblPr>
        <w:tblW w:w="9861" w:type="dxa"/>
        <w:tblLayout w:type="fixed"/>
        <w:tblLook w:val="04A0" w:firstRow="1" w:lastRow="0" w:firstColumn="1" w:lastColumn="0" w:noHBand="0" w:noVBand="1"/>
      </w:tblPr>
      <w:tblGrid>
        <w:gridCol w:w="4160"/>
        <w:gridCol w:w="5465"/>
        <w:gridCol w:w="236"/>
      </w:tblGrid>
      <w:tr w:rsidR="00C054BD" w:rsidRPr="00C054BD" w14:paraId="73BC6508" w14:textId="77777777" w:rsidTr="00C054BD">
        <w:trPr>
          <w:gridAfter w:val="1"/>
          <w:wAfter w:w="236" w:type="dxa"/>
          <w:trHeight w:val="300"/>
        </w:trPr>
        <w:tc>
          <w:tcPr>
            <w:tcW w:w="962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224AAE2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Estimated Total Cost of Fleet Management System</w:t>
            </w:r>
          </w:p>
        </w:tc>
      </w:tr>
      <w:tr w:rsidR="00C054BD" w:rsidRPr="00C054BD" w14:paraId="0D9A5C9C" w14:textId="77777777" w:rsidTr="00C054BD">
        <w:trPr>
          <w:gridAfter w:val="1"/>
          <w:wAfter w:w="236" w:type="dxa"/>
          <w:trHeight w:val="45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1D7CE84F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8F5A4"/>
            <w:vAlign w:val="center"/>
            <w:hideMark/>
          </w:tcPr>
          <w:p w14:paraId="5BE8D0AD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054BD" w:rsidRPr="00C054BD" w14:paraId="0DD85A8A" w14:textId="77777777" w:rsidTr="00C054BD">
        <w:trPr>
          <w:trHeight w:val="29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F8564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D3A6D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2D0E" w14:textId="77777777" w:rsidR="00C054BD" w:rsidRPr="00C054BD" w:rsidRDefault="00C054BD" w:rsidP="00C054B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054BD" w:rsidRPr="00C054BD" w14:paraId="2D1AB324" w14:textId="77777777" w:rsidTr="00C054BD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61B8D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>Estimated Total Device Cost (per year)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CBA3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763,320.00 </w:t>
            </w:r>
          </w:p>
        </w:tc>
        <w:tc>
          <w:tcPr>
            <w:tcW w:w="236" w:type="dxa"/>
            <w:vAlign w:val="center"/>
            <w:hideMark/>
          </w:tcPr>
          <w:p w14:paraId="4A2FF6C5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4A4A870D" w14:textId="77777777" w:rsidTr="00C054BD">
        <w:trPr>
          <w:trHeight w:val="22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422B" w14:textId="77777777" w:rsidR="00C054BD" w:rsidRPr="00C054BD" w:rsidRDefault="00C054BD" w:rsidP="00C054BD">
            <w:pPr>
              <w:spacing w:before="0" w:after="0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eastAsia="Arial" w:hAnsi="Calibri" w:cs="Calibri"/>
                <w:color w:val="000000"/>
                <w:sz w:val="22"/>
                <w:szCs w:val="22"/>
              </w:rPr>
              <w:t>Estimated Total ALMP Infra Cost (per year)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6082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325,053.50 </w:t>
            </w:r>
          </w:p>
        </w:tc>
        <w:tc>
          <w:tcPr>
            <w:tcW w:w="236" w:type="dxa"/>
            <w:vAlign w:val="center"/>
            <w:hideMark/>
          </w:tcPr>
          <w:p w14:paraId="548D42DA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431CA887" w14:textId="77777777" w:rsidTr="00C054BD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01B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>Estimated Total Rollout Cost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323E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     35,000.00 </w:t>
            </w:r>
          </w:p>
        </w:tc>
        <w:tc>
          <w:tcPr>
            <w:tcW w:w="236" w:type="dxa"/>
            <w:vAlign w:val="center"/>
            <w:hideMark/>
          </w:tcPr>
          <w:p w14:paraId="7E314478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78A1EDDB" w14:textId="77777777" w:rsidTr="00C054BD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37A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D065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center"/>
            <w:hideMark/>
          </w:tcPr>
          <w:p w14:paraId="20DA7AB3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C054BD" w:rsidRPr="00C054BD" w14:paraId="728B04F0" w14:textId="77777777" w:rsidTr="00C054BD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D9AD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Estimated Cost of Delivery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1AA12" w14:textId="77777777" w:rsidR="00C054BD" w:rsidRPr="00C054BD" w:rsidRDefault="00C054BD" w:rsidP="00C054BD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54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$      1,123,373.50 </w:t>
            </w:r>
          </w:p>
        </w:tc>
        <w:tc>
          <w:tcPr>
            <w:tcW w:w="236" w:type="dxa"/>
            <w:vAlign w:val="center"/>
            <w:hideMark/>
          </w:tcPr>
          <w:p w14:paraId="4CC667DA" w14:textId="77777777" w:rsidR="00C054BD" w:rsidRPr="00C054BD" w:rsidRDefault="00C054BD" w:rsidP="00C054BD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4506F93B" w14:textId="77777777" w:rsidR="00C054BD" w:rsidRDefault="00C054BD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78D3210A" w14:textId="77777777" w:rsidR="00B87A59" w:rsidRPr="00D162B2" w:rsidRDefault="00B87A59" w:rsidP="008B5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B1DCB6D" w14:textId="05DD18E3" w:rsidR="00132B9B" w:rsidRDefault="00475D41" w:rsidP="002A5D74">
      <w:pPr>
        <w:pStyle w:val="Heading1"/>
      </w:pPr>
      <w:r w:rsidRPr="00D162B2">
        <w:t>Savings and fleet compliance</w:t>
      </w:r>
    </w:p>
    <w:p w14:paraId="6EA88ECF" w14:textId="5BF51F1F" w:rsidR="00E445CF" w:rsidRPr="00E445CF" w:rsidRDefault="00E445CF" w:rsidP="00E445CF">
      <w:pPr>
        <w:pStyle w:val="BodyText"/>
        <w:ind w:left="360"/>
        <w:rPr>
          <w:rFonts w:asciiTheme="minorHAnsi" w:eastAsia="Arial" w:hAnsiTheme="minorHAnsi" w:cstheme="minorHAnsi"/>
          <w:iCs/>
          <w:sz w:val="22"/>
          <w:szCs w:val="22"/>
        </w:rPr>
      </w:pPr>
      <w:r>
        <w:rPr>
          <w:rFonts w:asciiTheme="minorHAnsi" w:eastAsia="Arial" w:hAnsiTheme="minorHAnsi" w:cstheme="minorHAnsi"/>
          <w:iCs/>
          <w:sz w:val="22"/>
          <w:szCs w:val="22"/>
        </w:rPr>
        <w:t>Reaching out to the savings and considering the savings per order cost a trial was conducted with Bahrain with a store and a few drivers with careful considerations we reach out to $ 0.04 per order savings which can be calculated monthly and yearly savings as below: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132B9B" w:rsidRPr="00132B9B" w14:paraId="7CE52EAA" w14:textId="77777777" w:rsidTr="00132B9B">
        <w:trPr>
          <w:gridAfter w:val="1"/>
          <w:wAfter w:w="91" w:type="dxa"/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14F5E66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Estimated Cost Savings Market Wise</w:t>
            </w:r>
          </w:p>
        </w:tc>
      </w:tr>
      <w:tr w:rsidR="00132B9B" w:rsidRPr="00132B9B" w14:paraId="02458DA6" w14:textId="77777777" w:rsidTr="00132B9B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F3C3820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eastAsia="Arial"/>
                <w:b/>
                <w:bCs/>
                <w:color w:val="000000"/>
                <w:sz w:val="20"/>
                <w:szCs w:val="20"/>
              </w:rPr>
              <w:t>Countries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44213F1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Savings Per Order ($)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3603E92E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Orders Per Month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4F156160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b/>
                <w:bCs/>
                <w:color w:val="000000"/>
                <w:sz w:val="20"/>
                <w:szCs w:val="20"/>
              </w:rPr>
              <w:t>Annual Savings in $</w:t>
            </w:r>
          </w:p>
        </w:tc>
      </w:tr>
      <w:tr w:rsidR="00132B9B" w:rsidRPr="00132B9B" w14:paraId="3FA77274" w14:textId="77777777" w:rsidTr="00132B9B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7D0C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03F79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0011C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78E8E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88F9" w14:textId="77777777" w:rsidR="00132B9B" w:rsidRPr="00132B9B" w:rsidRDefault="00132B9B" w:rsidP="00132B9B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32B9B" w:rsidRPr="00132B9B" w14:paraId="46171006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E963F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6BB0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150E9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125,629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C6ED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  60,301.78 </w:t>
            </w:r>
          </w:p>
        </w:tc>
        <w:tc>
          <w:tcPr>
            <w:tcW w:w="91" w:type="dxa"/>
            <w:vAlign w:val="center"/>
            <w:hideMark/>
          </w:tcPr>
          <w:p w14:paraId="64D1222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763E974B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8D5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UAE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0662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B6DE3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1,466,923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C3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704,122.99 </w:t>
            </w:r>
          </w:p>
        </w:tc>
        <w:tc>
          <w:tcPr>
            <w:tcW w:w="91" w:type="dxa"/>
            <w:vAlign w:val="center"/>
            <w:hideMark/>
          </w:tcPr>
          <w:p w14:paraId="5AFB5026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0C6BC267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F221D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Kuwait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94C4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0210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572,713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F80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274,902.24 </w:t>
            </w:r>
          </w:p>
        </w:tc>
        <w:tc>
          <w:tcPr>
            <w:tcW w:w="91" w:type="dxa"/>
            <w:vAlign w:val="center"/>
            <w:hideMark/>
          </w:tcPr>
          <w:p w14:paraId="179A103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657EEEE6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DAF6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CEEC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F8AC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290,265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9628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139,327.04 </w:t>
            </w:r>
          </w:p>
        </w:tc>
        <w:tc>
          <w:tcPr>
            <w:tcW w:w="91" w:type="dxa"/>
            <w:vAlign w:val="center"/>
            <w:hideMark/>
          </w:tcPr>
          <w:p w14:paraId="3EE154CC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26DA188B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D0C2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KSA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88F32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A6081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313,497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5321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150,478.32 </w:t>
            </w:r>
          </w:p>
        </w:tc>
        <w:tc>
          <w:tcPr>
            <w:tcW w:w="91" w:type="dxa"/>
            <w:vAlign w:val="center"/>
            <w:hideMark/>
          </w:tcPr>
          <w:p w14:paraId="60AEA418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5C310147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4E96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8BE9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7450F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495,239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11B01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237,714.68 </w:t>
            </w:r>
          </w:p>
        </w:tc>
        <w:tc>
          <w:tcPr>
            <w:tcW w:w="91" w:type="dxa"/>
            <w:vAlign w:val="center"/>
            <w:hideMark/>
          </w:tcPr>
          <w:p w14:paraId="1615C4F1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2747AE35" w14:textId="77777777" w:rsidTr="00132B9B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F5AE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>Oman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FBD6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2299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49,285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29F7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132B9B">
              <w:rPr>
                <w:color w:val="000000"/>
                <w:sz w:val="20"/>
                <w:szCs w:val="20"/>
              </w:rPr>
              <w:t xml:space="preserve"> $                                                     23,656.83 </w:t>
            </w:r>
          </w:p>
        </w:tc>
        <w:tc>
          <w:tcPr>
            <w:tcW w:w="91" w:type="dxa"/>
            <w:vAlign w:val="center"/>
            <w:hideMark/>
          </w:tcPr>
          <w:p w14:paraId="4437AF2A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61B23E4C" w14:textId="77777777" w:rsidTr="00132B9B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F9D4" w14:textId="77777777" w:rsidR="00132B9B" w:rsidRPr="00132B9B" w:rsidRDefault="00132B9B" w:rsidP="00132B9B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3F0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152" w14:textId="77777777" w:rsidR="00132B9B" w:rsidRPr="00132B9B" w:rsidRDefault="00132B9B" w:rsidP="00132B9B">
            <w:pPr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9D67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0B374081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32B9B" w:rsidRPr="00132B9B" w14:paraId="042BA349" w14:textId="77777777" w:rsidTr="00132B9B">
        <w:trPr>
          <w:trHeight w:val="30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CD49C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Savings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26D6" w14:textId="77777777" w:rsidR="00132B9B" w:rsidRPr="00132B9B" w:rsidRDefault="00132B9B" w:rsidP="00132B9B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32B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$1,590,504 </w:t>
            </w:r>
          </w:p>
        </w:tc>
        <w:tc>
          <w:tcPr>
            <w:tcW w:w="91" w:type="dxa"/>
            <w:vAlign w:val="center"/>
            <w:hideMark/>
          </w:tcPr>
          <w:p w14:paraId="00EFA222" w14:textId="77777777" w:rsidR="00132B9B" w:rsidRPr="00132B9B" w:rsidRDefault="00132B9B" w:rsidP="00132B9B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0B70D51D" w14:textId="043AACD1" w:rsidR="00132B9B" w:rsidRPr="002A5D74" w:rsidRDefault="002A5D74" w:rsidP="002A5D74">
      <w:pPr>
        <w:pStyle w:val="Heading1"/>
      </w:pPr>
      <w:r w:rsidRPr="002A5D74">
        <w:t>Additional savings</w:t>
      </w:r>
    </w:p>
    <w:p w14:paraId="54D0C912" w14:textId="18C70BC8" w:rsidR="002A5D74" w:rsidRDefault="002A5D74" w:rsidP="002A5D74">
      <w:pPr>
        <w:spacing w:before="0" w:after="0"/>
        <w:ind w:left="0"/>
        <w:rPr>
          <w:rFonts w:ascii="Calibri" w:hAnsi="Calibri" w:cs="Calibri"/>
          <w:color w:val="000000"/>
          <w:sz w:val="18"/>
          <w:szCs w:val="18"/>
        </w:rPr>
      </w:pPr>
      <w:r w:rsidRPr="002A5D74">
        <w:rPr>
          <w:rFonts w:ascii="Calibri" w:hAnsi="Calibri" w:cs="Calibri"/>
          <w:color w:val="000000"/>
          <w:sz w:val="18"/>
          <w:szCs w:val="18"/>
        </w:rPr>
        <w:t>In addition to above</w:t>
      </w:r>
      <w:r>
        <w:rPr>
          <w:rFonts w:ascii="Calibri" w:hAnsi="Calibri" w:cs="Calibri"/>
          <w:color w:val="000000"/>
          <w:sz w:val="18"/>
          <w:szCs w:val="18"/>
        </w:rPr>
        <w:t xml:space="preserve"> savings further the smart devices with </w:t>
      </w:r>
      <w:r w:rsidRPr="002A5D74">
        <w:rPr>
          <w:rFonts w:ascii="Calibri" w:hAnsi="Calibri" w:cs="Calibri"/>
          <w:color w:val="000000"/>
          <w:sz w:val="18"/>
          <w:szCs w:val="18"/>
        </w:rPr>
        <w:t>GPS trackers will also help reduce Stolen Bikes</w:t>
      </w:r>
      <w:r>
        <w:rPr>
          <w:rFonts w:ascii="Calibri" w:hAnsi="Calibri" w:cs="Calibri"/>
          <w:color w:val="000000"/>
          <w:sz w:val="18"/>
          <w:szCs w:val="18"/>
        </w:rPr>
        <w:t xml:space="preserve"> with following: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2A5D74" w:rsidRPr="002A5D74" w14:paraId="6882F3E4" w14:textId="77777777" w:rsidTr="002A5D74">
        <w:trPr>
          <w:gridAfter w:val="1"/>
          <w:wAfter w:w="91" w:type="dxa"/>
          <w:trHeight w:val="30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1EC78D43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Cost Savings on Vehicles Theft</w:t>
            </w:r>
          </w:p>
        </w:tc>
      </w:tr>
      <w:tr w:rsidR="002A5D74" w:rsidRPr="002A5D74" w14:paraId="1AC80983" w14:textId="77777777" w:rsidTr="002A5D74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2D366A5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eastAsia="Arial" w:hAnsiTheme="minorHAnsi" w:cstheme="minorHAnsi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0315823D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Year of Theft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6B321DC6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Total Theft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8F5A4"/>
            <w:vAlign w:val="center"/>
            <w:hideMark/>
          </w:tcPr>
          <w:p w14:paraId="7CAD2DEE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Estimated Vehicle Cost</w:t>
            </w:r>
          </w:p>
        </w:tc>
      </w:tr>
      <w:tr w:rsidR="002A5D74" w:rsidRPr="002A5D74" w14:paraId="746052CC" w14:textId="77777777" w:rsidTr="002A5D74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1986C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112B2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6F7A1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6A179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6B75" w14:textId="77777777" w:rsidR="002A5D74" w:rsidRPr="002A5D74" w:rsidRDefault="002A5D74" w:rsidP="002A5D74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2A5D74" w:rsidRPr="002A5D74" w14:paraId="5D8CA532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56082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3392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B216F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E7E68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91,000.00 </w:t>
            </w:r>
          </w:p>
        </w:tc>
        <w:tc>
          <w:tcPr>
            <w:tcW w:w="91" w:type="dxa"/>
            <w:vAlign w:val="center"/>
            <w:hideMark/>
          </w:tcPr>
          <w:p w14:paraId="74A448E0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0835E0D1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A57B0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E3B0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AE60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F981A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52,000.00 </w:t>
            </w:r>
          </w:p>
        </w:tc>
        <w:tc>
          <w:tcPr>
            <w:tcW w:w="91" w:type="dxa"/>
            <w:vAlign w:val="center"/>
            <w:hideMark/>
          </w:tcPr>
          <w:p w14:paraId="7E0B07C4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2D999B9D" w14:textId="77777777" w:rsidTr="002A5D74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7A16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E4E65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FY-23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25F91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2692" w14:textId="77777777" w:rsidR="002A5D74" w:rsidRPr="002A5D74" w:rsidRDefault="002A5D74" w:rsidP="002A5D74">
            <w:pPr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A5D7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$                                                     39,000.00 </w:t>
            </w:r>
          </w:p>
        </w:tc>
        <w:tc>
          <w:tcPr>
            <w:tcW w:w="91" w:type="dxa"/>
            <w:vAlign w:val="center"/>
            <w:hideMark/>
          </w:tcPr>
          <w:p w14:paraId="1D99BAA2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514F6C3C" w14:textId="77777777" w:rsidTr="002A5D74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A9CD" w14:textId="77777777" w:rsidR="002A5D74" w:rsidRPr="002A5D74" w:rsidRDefault="002A5D74" w:rsidP="002A5D74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2086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82AE" w14:textId="77777777" w:rsidR="002A5D74" w:rsidRPr="002A5D74" w:rsidRDefault="002A5D74" w:rsidP="002A5D74">
            <w:pPr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A6B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91" w:type="dxa"/>
            <w:vAlign w:val="center"/>
            <w:hideMark/>
          </w:tcPr>
          <w:p w14:paraId="2C6C4994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A5D74" w:rsidRPr="002A5D74" w14:paraId="3D4FE6B5" w14:textId="77777777" w:rsidTr="002A5D74">
        <w:trPr>
          <w:trHeight w:val="30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81FD9" w14:textId="77777777" w:rsidR="002A5D74" w:rsidRPr="002A5D74" w:rsidRDefault="002A5D74" w:rsidP="002A5D74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A5D7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 Estimated Cost of Theft Vehicles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AB0CF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A5D7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$                                                   182,000.00 </w:t>
            </w:r>
          </w:p>
        </w:tc>
        <w:tc>
          <w:tcPr>
            <w:tcW w:w="91" w:type="dxa"/>
            <w:vAlign w:val="center"/>
            <w:hideMark/>
          </w:tcPr>
          <w:p w14:paraId="298DBB1C" w14:textId="77777777" w:rsidR="002A5D74" w:rsidRPr="002A5D74" w:rsidRDefault="002A5D74" w:rsidP="002A5D74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7A15FBE3" w14:textId="424A8F33" w:rsidR="002A5D74" w:rsidRDefault="00AB35E0" w:rsidP="002A5D74">
      <w:pPr>
        <w:pStyle w:val="Heading1"/>
      </w:pPr>
      <w:r>
        <w:lastRenderedPageBreak/>
        <w:t>Beyond cost benefits</w:t>
      </w:r>
    </w:p>
    <w:p w14:paraId="0365298A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Improved safety and compliance</w:t>
      </w:r>
    </w:p>
    <w:p w14:paraId="5AF7512C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Reduced fuel costs</w:t>
      </w:r>
    </w:p>
    <w:p w14:paraId="5CF1EE1B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Lower overall operational costs</w:t>
      </w:r>
    </w:p>
    <w:p w14:paraId="48487BF1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Increased productivity</w:t>
      </w:r>
    </w:p>
    <w:p w14:paraId="4754FE30" w14:textId="1FC7A93D" w:rsid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r w:rsidRPr="00AB35E0">
        <w:rPr>
          <w:b w:val="0"/>
          <w:bCs w:val="0"/>
          <w:sz w:val="20"/>
          <w:szCs w:val="20"/>
        </w:rPr>
        <w:t>Better communication</w:t>
      </w:r>
    </w:p>
    <w:p w14:paraId="3531F50C" w14:textId="77777777" w:rsidR="00AB35E0" w:rsidRPr="00AB35E0" w:rsidRDefault="00AB35E0" w:rsidP="00AB35E0">
      <w:pPr>
        <w:pStyle w:val="Heading1"/>
        <w:ind w:left="720"/>
        <w:rPr>
          <w:b w:val="0"/>
          <w:bCs w:val="0"/>
          <w:sz w:val="20"/>
          <w:szCs w:val="20"/>
        </w:rPr>
      </w:pPr>
    </w:p>
    <w:p w14:paraId="64C8D0CE" w14:textId="43B915CC" w:rsidR="00952D67" w:rsidRPr="00D162B2" w:rsidRDefault="00BE70DF" w:rsidP="002A5D74">
      <w:pPr>
        <w:pStyle w:val="Heading1"/>
      </w:pPr>
      <w:bookmarkStart w:id="19" w:name="_Toc19004905"/>
      <w:r w:rsidRPr="00D162B2">
        <w:t>Assumptions</w:t>
      </w:r>
      <w:bookmarkEnd w:id="19"/>
      <w:r w:rsidR="00881E3B" w:rsidRPr="00D162B2">
        <w:t xml:space="preserve"> </w:t>
      </w:r>
    </w:p>
    <w:p w14:paraId="023CA2AD" w14:textId="1C434776" w:rsidR="00952D67" w:rsidRPr="007440D6" w:rsidRDefault="002139F2" w:rsidP="007440D6">
      <w:pPr>
        <w:pStyle w:val="BodyText"/>
        <w:ind w:left="360"/>
        <w:rPr>
          <w:rFonts w:asciiTheme="minorHAnsi" w:eastAsia="Arial" w:hAnsiTheme="minorHAnsi" w:cstheme="minorHAnsi"/>
          <w:i/>
          <w:sz w:val="22"/>
          <w:szCs w:val="22"/>
        </w:rPr>
      </w:pP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Below </w:t>
      </w:r>
      <w:r w:rsidR="007440D6" w:rsidRPr="002139F2">
        <w:rPr>
          <w:rFonts w:asciiTheme="minorHAnsi" w:eastAsia="Arial" w:hAnsiTheme="minorHAnsi" w:cstheme="minorHAnsi"/>
          <w:i/>
          <w:sz w:val="22"/>
          <w:szCs w:val="22"/>
        </w:rPr>
        <w:t>is</w:t>
      </w: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 the list of assumptions made during this draft version of documentation with basic costing, </w:t>
      </w:r>
      <w:r w:rsidR="00DD5055" w:rsidRPr="002139F2">
        <w:rPr>
          <w:rFonts w:asciiTheme="minorHAnsi" w:eastAsia="Arial" w:hAnsiTheme="minorHAnsi" w:cstheme="minorHAnsi"/>
          <w:i/>
          <w:sz w:val="22"/>
          <w:szCs w:val="22"/>
        </w:rPr>
        <w:t>budgeting,</w:t>
      </w:r>
      <w:r w:rsidRPr="002139F2">
        <w:rPr>
          <w:rFonts w:asciiTheme="minorHAnsi" w:eastAsia="Arial" w:hAnsiTheme="minorHAnsi" w:cstheme="minorHAnsi"/>
          <w:i/>
          <w:sz w:val="22"/>
          <w:szCs w:val="22"/>
        </w:rPr>
        <w:t xml:space="preserve"> and savings</w:t>
      </w:r>
      <w:r w:rsidR="00831227">
        <w:rPr>
          <w:rFonts w:asciiTheme="minorHAnsi" w:eastAsia="Arial" w:hAnsiTheme="minorHAnsi" w:cstheme="minorHAnsi"/>
          <w:i/>
          <w:sz w:val="22"/>
          <w:szCs w:val="22"/>
        </w:rPr>
        <w:t xml:space="preserve"> can be listed in below: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7"/>
        <w:gridCol w:w="4410"/>
      </w:tblGrid>
      <w:tr w:rsidR="000D62E3" w:rsidRPr="00D162B2" w14:paraId="556CF7F8" w14:textId="77777777" w:rsidTr="000D62E3">
        <w:tc>
          <w:tcPr>
            <w:tcW w:w="4567" w:type="dxa"/>
            <w:shd w:val="clear" w:color="auto" w:fill="313896"/>
          </w:tcPr>
          <w:p w14:paraId="026B97E5" w14:textId="6CE5F656" w:rsidR="000D62E3" w:rsidRPr="00D162B2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Assumption</w:t>
            </w:r>
          </w:p>
        </w:tc>
        <w:tc>
          <w:tcPr>
            <w:tcW w:w="4410" w:type="dxa"/>
            <w:shd w:val="clear" w:color="auto" w:fill="313896"/>
          </w:tcPr>
          <w:p w14:paraId="74D2C8C4" w14:textId="49D9692F" w:rsidR="000D62E3" w:rsidRPr="00D162B2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Actions to validate Assumptions </w:t>
            </w:r>
          </w:p>
        </w:tc>
      </w:tr>
      <w:tr w:rsidR="000D62E3" w:rsidRPr="00D162B2" w14:paraId="4B3134CB" w14:textId="77777777" w:rsidTr="000D62E3">
        <w:tc>
          <w:tcPr>
            <w:tcW w:w="4567" w:type="dxa"/>
          </w:tcPr>
          <w:p w14:paraId="5071CD2B" w14:textId="6AB5B1AF" w:rsidR="000D62E3" w:rsidRPr="00D162B2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Microsoft Azure Cloud BoQ for Production is considered as </w:t>
            </w:r>
            <w:r>
              <w:rPr>
                <w:b/>
                <w:bCs/>
                <w:sz w:val="20"/>
                <w:szCs w:val="20"/>
              </w:rPr>
              <w:t xml:space="preserve">$11,715.44 </w:t>
            </w:r>
          </w:p>
        </w:tc>
        <w:tc>
          <w:tcPr>
            <w:tcW w:w="4410" w:type="dxa"/>
          </w:tcPr>
          <w:p w14:paraId="70AD80C0" w14:textId="39A86F2F" w:rsidR="000D62E3" w:rsidRPr="00D162B2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Validation can be done with Etisalat.</w:t>
            </w:r>
          </w:p>
        </w:tc>
      </w:tr>
      <w:tr w:rsidR="000D62E3" w:rsidRPr="00D162B2" w14:paraId="07EB8FCF" w14:textId="77777777" w:rsidTr="000D62E3">
        <w:tc>
          <w:tcPr>
            <w:tcW w:w="4567" w:type="dxa"/>
          </w:tcPr>
          <w:p w14:paraId="39C33114" w14:textId="33B54E4A" w:rsidR="000D62E3" w:rsidRPr="00D162B2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Monthly order volume considered from ALMP LAMDA DB with 18% order volume for 1click in October 2023</w:t>
            </w:r>
          </w:p>
        </w:tc>
        <w:tc>
          <w:tcPr>
            <w:tcW w:w="4410" w:type="dxa"/>
          </w:tcPr>
          <w:p w14:paraId="4E2F4EB7" w14:textId="7638C80F" w:rsidR="000D62E3" w:rsidRPr="00D162B2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Can be validated with the monthly order volume available in LAMDA DB for PowerBI reporting tables.</w:t>
            </w:r>
          </w:p>
        </w:tc>
      </w:tr>
      <w:tr w:rsidR="000D62E3" w:rsidRPr="00D162B2" w14:paraId="73ED2CC2" w14:textId="77777777" w:rsidTr="000D62E3">
        <w:tc>
          <w:tcPr>
            <w:tcW w:w="4567" w:type="dxa"/>
          </w:tcPr>
          <w:p w14:paraId="72F8BD0E" w14:textId="675B794C" w:rsidR="000D62E3" w:rsidRPr="00D162B2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ALMP Dev, QA is considered 20%, UAT 30% and DR 10% of Production BoQ.</w:t>
            </w:r>
          </w:p>
        </w:tc>
        <w:tc>
          <w:tcPr>
            <w:tcW w:w="4410" w:type="dxa"/>
          </w:tcPr>
          <w:p w14:paraId="18B5077E" w14:textId="6CB320A3" w:rsidR="000D62E3" w:rsidRPr="00D162B2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Below attached projected ALMP production BoQ component list shared via Etisalat.</w:t>
            </w:r>
          </w:p>
        </w:tc>
      </w:tr>
    </w:tbl>
    <w:p w14:paraId="7E0217F1" w14:textId="77777777" w:rsidR="0094441C" w:rsidRDefault="0094441C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60623CE9" w14:textId="2F2F4A6C" w:rsidR="002952C5" w:rsidRPr="00D10168" w:rsidRDefault="002952C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D10168">
        <w:rPr>
          <w:rFonts w:asciiTheme="minorHAnsi" w:hAnsiTheme="minorHAnsi" w:cstheme="minorHAnsi"/>
          <w:b/>
          <w:bCs/>
          <w:sz w:val="22"/>
          <w:szCs w:val="22"/>
        </w:rPr>
        <w:t>ALMP Cloud (BoQ)</w:t>
      </w:r>
      <w:r w:rsidR="00D10168">
        <w:rPr>
          <w:rFonts w:asciiTheme="minorHAnsi" w:hAnsiTheme="minorHAnsi" w:cstheme="minorHAnsi"/>
          <w:b/>
          <w:bCs/>
          <w:sz w:val="22"/>
          <w:szCs w:val="22"/>
        </w:rPr>
        <w:t xml:space="preserve"> Considered for infrastructure calculation:</w:t>
      </w:r>
    </w:p>
    <w:p w14:paraId="19FE1A2A" w14:textId="21817213" w:rsidR="0020275F" w:rsidRPr="00D162B2" w:rsidRDefault="00642182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4218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1610BA" wp14:editId="420EEE2E">
            <wp:extent cx="5311471" cy="3410398"/>
            <wp:effectExtent l="0" t="0" r="3810" b="0"/>
            <wp:docPr id="3643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409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377" w14:textId="77777777" w:rsidR="0020275F" w:rsidRPr="00D162B2" w:rsidRDefault="0020275F" w:rsidP="002A5D74">
      <w:pPr>
        <w:pStyle w:val="Heading1"/>
      </w:pPr>
    </w:p>
    <w:p w14:paraId="2D464DA4" w14:textId="77777777" w:rsidR="0020275F" w:rsidRPr="00D162B2" w:rsidRDefault="0020275F" w:rsidP="0020275F">
      <w:pPr>
        <w:pStyle w:val="Appendix"/>
        <w:rPr>
          <w:rFonts w:asciiTheme="minorHAnsi" w:eastAsia="Arial" w:hAnsiTheme="minorHAnsi" w:cstheme="minorHAnsi"/>
          <w:sz w:val="22"/>
          <w:szCs w:val="22"/>
        </w:rPr>
      </w:pPr>
      <w:bookmarkStart w:id="20" w:name="_Toc104351547"/>
      <w:bookmarkStart w:id="21" w:name="_Toc104351552"/>
      <w:bookmarkStart w:id="22" w:name="_Toc104351553"/>
      <w:bookmarkStart w:id="23" w:name="_Toc104351554"/>
      <w:bookmarkStart w:id="24" w:name="_Toc104351584"/>
      <w:bookmarkStart w:id="25" w:name="_Toc104351624"/>
      <w:bookmarkStart w:id="26" w:name="_Toc104351625"/>
      <w:bookmarkStart w:id="27" w:name="_Toc104351636"/>
      <w:bookmarkStart w:id="28" w:name="_Toc104351660"/>
      <w:bookmarkStart w:id="29" w:name="_Toc104351663"/>
      <w:bookmarkStart w:id="30" w:name="_Toc104351665"/>
      <w:bookmarkStart w:id="31" w:name="_Toc104351690"/>
      <w:bookmarkStart w:id="32" w:name="_Toc104351702"/>
      <w:bookmarkStart w:id="33" w:name="_Toc104351703"/>
      <w:bookmarkStart w:id="34" w:name="_Toc104351748"/>
      <w:bookmarkStart w:id="35" w:name="_Toc104351750"/>
      <w:bookmarkStart w:id="36" w:name="_Toc104351761"/>
      <w:bookmarkStart w:id="37" w:name="_Toc104351763"/>
      <w:bookmarkStart w:id="38" w:name="_Toc104351787"/>
      <w:bookmarkStart w:id="39" w:name="_Toc104351788"/>
      <w:bookmarkStart w:id="40" w:name="_Toc104351810"/>
      <w:bookmarkStart w:id="41" w:name="_Toc104351812"/>
      <w:bookmarkStart w:id="42" w:name="_Toc104351813"/>
      <w:bookmarkStart w:id="43" w:name="_Toc104351814"/>
      <w:bookmarkStart w:id="44" w:name="_Toc106079533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D162B2">
        <w:rPr>
          <w:rFonts w:asciiTheme="minorHAnsi" w:eastAsia="Arial" w:hAnsiTheme="minorHAnsi" w:cstheme="minorHAnsi"/>
          <w:sz w:val="22"/>
          <w:szCs w:val="22"/>
        </w:rPr>
        <w:br w:type="page"/>
      </w:r>
      <w:bookmarkStart w:id="45" w:name="_Toc136837066"/>
      <w:bookmarkStart w:id="46" w:name="_Toc196645235"/>
      <w:bookmarkStart w:id="47" w:name="_Toc107027580"/>
      <w:bookmarkStart w:id="48" w:name="_Toc107027790"/>
      <w:r w:rsidRPr="00D162B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Appendix A: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Business Case -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Approval</w:t>
      </w:r>
      <w:bookmarkEnd w:id="45"/>
      <w:bookmarkEnd w:id="46"/>
    </w:p>
    <w:p w14:paraId="66F2A1F6" w14:textId="57FFCB87" w:rsidR="0020275F" w:rsidRPr="00D162B2" w:rsidRDefault="0020275F" w:rsidP="007D1D1D">
      <w:pPr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>The undersigned acknowledge they have reviewed th</w:t>
      </w:r>
      <w:r w:rsidR="007D1D1D">
        <w:rPr>
          <w:rFonts w:asciiTheme="minorHAnsi" w:eastAsia="Arial" w:hAnsiTheme="minorHAnsi" w:cstheme="minorHAnsi"/>
          <w:sz w:val="22"/>
          <w:szCs w:val="22"/>
        </w:rPr>
        <w:t xml:space="preserve">e ALMP Fleet Management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and agree with the approach it presents. Changes to this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will be coordinated with and approved by the undersigned or their designated representatives.</w:t>
      </w:r>
    </w:p>
    <w:p w14:paraId="053C4E96" w14:textId="77777777" w:rsidR="0020275F" w:rsidRPr="00D162B2" w:rsidRDefault="0020275F" w:rsidP="0020275F">
      <w:pPr>
        <w:tabs>
          <w:tab w:val="left" w:leader="underscore" w:pos="5760"/>
          <w:tab w:val="left" w:leader="underscore" w:pos="900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5857B60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9F796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014501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0F016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742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31E35D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EED44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52884D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3CA0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BF57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533493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0331C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A32A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61EE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2BCB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F24E3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8C374C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D32053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3DE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9D8F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2B3932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663DE776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7DE7CACD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E591D3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518447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64F09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2D7A6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A89632B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5C0FF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DD2304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5115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71BF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F55DB2A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AE538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C7DD0E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8289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BA262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519D54D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C5BAEA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BA089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9CD4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059E7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CC574F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466A0042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3E22B5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FC6254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4FD0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FC6C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77E2D7F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B98CBC0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CD748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CD2A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7E6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03D4AC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83C81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9FFE6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EEE24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6A734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B699C6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DD33B4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154A9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DA96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BE810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A0E1D2" w14:textId="77777777" w:rsidR="0020275F" w:rsidRPr="00D162B2" w:rsidRDefault="0020275F" w:rsidP="0020275F">
      <w:pPr>
        <w:pStyle w:val="BodyText"/>
        <w:rPr>
          <w:rFonts w:asciiTheme="minorHAnsi" w:hAnsiTheme="minorHAnsi" w:cstheme="minorHAnsi"/>
          <w:sz w:val="22"/>
          <w:szCs w:val="22"/>
        </w:rPr>
      </w:pPr>
    </w:p>
    <w:bookmarkEnd w:id="44"/>
    <w:bookmarkEnd w:id="47"/>
    <w:bookmarkEnd w:id="48"/>
    <w:p w14:paraId="1004120E" w14:textId="77777777" w:rsidR="0020275F" w:rsidRPr="00D162B2" w:rsidRDefault="0020275F" w:rsidP="0020275F">
      <w:pPr>
        <w:pStyle w:val="Appendix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35519F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2388EC86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CAD4A8F" w14:textId="77777777" w:rsidR="004B10FD" w:rsidRPr="00D162B2" w:rsidRDefault="004B10FD" w:rsidP="0020275F">
      <w:pPr>
        <w:rPr>
          <w:rFonts w:asciiTheme="minorHAnsi" w:hAnsiTheme="minorHAnsi" w:cstheme="minorHAnsi"/>
          <w:sz w:val="22"/>
          <w:szCs w:val="22"/>
        </w:rPr>
      </w:pPr>
    </w:p>
    <w:sectPr w:rsidR="004B10FD" w:rsidRPr="00D162B2" w:rsidSect="005520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D02B" w14:textId="77777777" w:rsidR="00D16B59" w:rsidRDefault="00D16B59" w:rsidP="00CF4290">
      <w:pPr>
        <w:spacing w:before="0" w:after="0"/>
      </w:pPr>
      <w:r>
        <w:separator/>
      </w:r>
    </w:p>
  </w:endnote>
  <w:endnote w:type="continuationSeparator" w:id="0">
    <w:p w14:paraId="0C5615B2" w14:textId="77777777" w:rsidR="00D16B59" w:rsidRDefault="00D16B59" w:rsidP="00CF42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52008" w:rsidRDefault="005520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601FE" w14:textId="77777777" w:rsidR="00552008" w:rsidRDefault="00552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1945" w14:textId="5EE97519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sz w:val="20"/>
        <w:szCs w:val="20"/>
      </w:rPr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46C5F9C9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  <w:r>
      <w:rPr>
        <w:sz w:val="20"/>
      </w:rPr>
      <w:tab/>
    </w:r>
    <w:r>
      <w:rPr>
        <w:sz w:val="20"/>
      </w:rPr>
      <w:tab/>
    </w:r>
    <w:r w:rsidRPr="3D514B0E">
      <w:rPr>
        <w:b/>
        <w:bCs/>
        <w:i/>
        <w:iCs/>
        <w:sz w:val="20"/>
        <w:szCs w:val="20"/>
      </w:rPr>
      <w:t xml:space="preserve">Page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2</w:t>
    </w:r>
    <w:r w:rsidRPr="3D514B0E">
      <w:rPr>
        <w:b/>
        <w:bCs/>
        <w:i/>
        <w:iCs/>
        <w:noProof/>
        <w:sz w:val="20"/>
        <w:szCs w:val="20"/>
      </w:rPr>
      <w:fldChar w:fldCharType="end"/>
    </w:r>
    <w:r w:rsidRPr="3D514B0E">
      <w:rPr>
        <w:b/>
        <w:bCs/>
        <w:i/>
        <w:iCs/>
        <w:sz w:val="20"/>
        <w:szCs w:val="20"/>
      </w:rPr>
      <w:t xml:space="preserve"> of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11</w:t>
    </w:r>
    <w:r w:rsidRPr="3D514B0E">
      <w:rPr>
        <w:b/>
        <w:bCs/>
        <w:i/>
        <w:iCs/>
        <w:noProof/>
        <w:sz w:val="20"/>
        <w:szCs w:val="20"/>
      </w:rPr>
      <w:fldChar w:fldCharType="end"/>
    </w:r>
  </w:p>
  <w:p w14:paraId="36DD5014" w14:textId="1363D9AD" w:rsidR="00552008" w:rsidRDefault="0055200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7258D2">
      <w:rPr>
        <w:b/>
        <w:bCs/>
        <w:i/>
        <w:iCs/>
        <w:noProof/>
        <w:sz w:val="20"/>
      </w:rPr>
      <w:t>Business Case_Fleet_Management_v1.0.0.docx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6FC63E20" w:rsidR="00552008" w:rsidRPr="00AD3289" w:rsidRDefault="00552008" w:rsidP="00552008">
    <w:pPr>
      <w:pStyle w:val="Footer"/>
      <w:jc w:val="center"/>
      <w:rPr>
        <w:rFonts w:ascii="Arial" w:hAnsi="Arial" w:cs="Arial"/>
        <w:sz w:val="18"/>
        <w:szCs w:val="18"/>
      </w:rPr>
    </w:pPr>
    <w:r>
      <w:fldChar w:fldCharType="begin"/>
    </w:r>
    <w:r>
      <w:instrText xml:space="preserve"> PAGE   \* MERGEFORMAT </w:instrText>
    </w:r>
    <w:r>
      <w:fldChar w:fldCharType="separate"/>
    </w:r>
    <w:r w:rsidR="000D62E3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B0AB" w14:textId="5004A1BB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eastAsia="Arial" w:hAnsi="Arial" w:cs="Arial"/>
        <w:sz w:val="18"/>
        <w:szCs w:val="18"/>
      </w:rPr>
    </w:pPr>
    <w:r w:rsidRPr="3D514B0E">
      <w:rPr>
        <w:rFonts w:ascii="Arial" w:eastAsia="Arial" w:hAnsi="Arial" w:cs="Arial"/>
        <w:sz w:val="18"/>
        <w:szCs w:val="18"/>
      </w:rPr>
      <w:t>Page</w:t>
    </w:r>
    <w:r w:rsidRPr="3D514B0E">
      <w:rPr>
        <w:rFonts w:ascii="Arial" w:eastAsia="Arial" w:hAnsi="Arial" w:cs="Arial"/>
        <w:b/>
        <w:bCs/>
        <w:sz w:val="18"/>
        <w:szCs w:val="18"/>
      </w:rPr>
      <w:t xml:space="preserve">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PAGE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5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  <w:r w:rsidRPr="3D514B0E">
      <w:rPr>
        <w:rStyle w:val="PageNumber"/>
        <w:rFonts w:ascii="Arial" w:eastAsia="Arial" w:hAnsi="Arial" w:cs="Arial"/>
        <w:sz w:val="18"/>
        <w:szCs w:val="18"/>
      </w:rPr>
      <w:t xml:space="preserve"> of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NUMPAGES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9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552008" w:rsidRDefault="00552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E349B" w14:textId="08C020CC" w:rsidR="00552008" w:rsidRDefault="00552008">
    <w:pPr>
      <w:pStyle w:val="Footer"/>
      <w:pBdr>
        <w:top w:val="single" w:sz="12" w:space="1" w:color="auto"/>
      </w:pBdr>
      <w:ind w:left="0" w:right="360"/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3D514B0E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3D514B0E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3D514B0E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1897" w14:textId="77777777" w:rsidR="00D16B59" w:rsidRDefault="00D16B59" w:rsidP="00CF4290">
      <w:pPr>
        <w:spacing w:before="0" w:after="0"/>
      </w:pPr>
      <w:r>
        <w:separator/>
      </w:r>
    </w:p>
  </w:footnote>
  <w:footnote w:type="continuationSeparator" w:id="0">
    <w:p w14:paraId="095195CB" w14:textId="77777777" w:rsidR="00D16B59" w:rsidRDefault="00D16B59" w:rsidP="00CF42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D51" w14:textId="2713165E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 w:rsidRPr="3D514B0E">
      <w:rPr>
        <w:b/>
        <w:bCs/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 TITLE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7258D2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A56F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3D490C" wp14:editId="07777777">
          <wp:simplePos x="0" y="0"/>
          <wp:positionH relativeFrom="column">
            <wp:posOffset>-563880</wp:posOffset>
          </wp:positionH>
          <wp:positionV relativeFrom="paragraph">
            <wp:posOffset>-81280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C08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9E108" wp14:editId="07777777">
          <wp:simplePos x="0" y="0"/>
          <wp:positionH relativeFrom="column">
            <wp:posOffset>-891540</wp:posOffset>
          </wp:positionH>
          <wp:positionV relativeFrom="paragraph">
            <wp:posOffset>-160020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6B3" w14:textId="5BC38A6F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7258D2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7258D2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15F67"/>
    <w:multiLevelType w:val="hybridMultilevel"/>
    <w:tmpl w:val="8890A2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8A2C2A"/>
    <w:multiLevelType w:val="multilevel"/>
    <w:tmpl w:val="0D9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97C51"/>
    <w:multiLevelType w:val="hybridMultilevel"/>
    <w:tmpl w:val="F252E03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7333B"/>
    <w:multiLevelType w:val="hybridMultilevel"/>
    <w:tmpl w:val="2CB43DC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E3B1B"/>
    <w:multiLevelType w:val="hybridMultilevel"/>
    <w:tmpl w:val="85102BBE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42C5614"/>
    <w:multiLevelType w:val="multilevel"/>
    <w:tmpl w:val="FA9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2320C"/>
    <w:multiLevelType w:val="multilevel"/>
    <w:tmpl w:val="5D3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41E7B"/>
    <w:multiLevelType w:val="multilevel"/>
    <w:tmpl w:val="5A48F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BF1CA2"/>
    <w:multiLevelType w:val="hybridMultilevel"/>
    <w:tmpl w:val="575CCC3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F6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197A78"/>
    <w:multiLevelType w:val="hybridMultilevel"/>
    <w:tmpl w:val="62EA146C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8FF2F3B"/>
    <w:multiLevelType w:val="hybridMultilevel"/>
    <w:tmpl w:val="455E93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92978C6"/>
    <w:multiLevelType w:val="hybridMultilevel"/>
    <w:tmpl w:val="3EA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15F5"/>
    <w:multiLevelType w:val="hybridMultilevel"/>
    <w:tmpl w:val="177436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505A438B"/>
    <w:multiLevelType w:val="hybridMultilevel"/>
    <w:tmpl w:val="FDF6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512A8"/>
    <w:multiLevelType w:val="hybridMultilevel"/>
    <w:tmpl w:val="CF707FD2"/>
    <w:lvl w:ilvl="0" w:tplc="4BD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B568D"/>
    <w:multiLevelType w:val="hybridMultilevel"/>
    <w:tmpl w:val="699CE4E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6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F078EB"/>
    <w:multiLevelType w:val="hybridMultilevel"/>
    <w:tmpl w:val="59D82298"/>
    <w:lvl w:ilvl="0" w:tplc="0809000F">
      <w:start w:val="1"/>
      <w:numFmt w:val="decimal"/>
      <w:lvlText w:val="%1."/>
      <w:lvlJc w:val="left"/>
      <w:pPr>
        <w:ind w:left="1305" w:hanging="360"/>
      </w:p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8" w15:restartNumberingAfterBreak="0">
    <w:nsid w:val="68E84AB8"/>
    <w:multiLevelType w:val="multilevel"/>
    <w:tmpl w:val="2500F5FC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color w:val="000000" w:themeColor="text1"/>
      </w:rPr>
    </w:lvl>
    <w:lvl w:ilvl="2">
      <w:start w:val="1"/>
      <w:numFmt w:val="decimal"/>
      <w:pStyle w:val="Method123subsubheading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5C0A6B"/>
    <w:multiLevelType w:val="hybridMultilevel"/>
    <w:tmpl w:val="ACD4CB8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868028E"/>
    <w:multiLevelType w:val="hybridMultilevel"/>
    <w:tmpl w:val="4EB8732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E14B3"/>
    <w:multiLevelType w:val="hybridMultilevel"/>
    <w:tmpl w:val="A53A30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C17BE7"/>
    <w:multiLevelType w:val="hybridMultilevel"/>
    <w:tmpl w:val="5DC25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71602">
    <w:abstractNumId w:val="12"/>
  </w:num>
  <w:num w:numId="2" w16cid:durableId="350228271">
    <w:abstractNumId w:val="5"/>
  </w:num>
  <w:num w:numId="3" w16cid:durableId="1994409190">
    <w:abstractNumId w:val="8"/>
  </w:num>
  <w:num w:numId="4" w16cid:durableId="580676520">
    <w:abstractNumId w:val="12"/>
  </w:num>
  <w:num w:numId="5" w16cid:durableId="227114585">
    <w:abstractNumId w:val="16"/>
  </w:num>
  <w:num w:numId="6" w16cid:durableId="1416515372">
    <w:abstractNumId w:val="27"/>
  </w:num>
  <w:num w:numId="7" w16cid:durableId="502822154">
    <w:abstractNumId w:val="21"/>
  </w:num>
  <w:num w:numId="8" w16cid:durableId="1948266955">
    <w:abstractNumId w:val="12"/>
  </w:num>
  <w:num w:numId="9" w16cid:durableId="460349335">
    <w:abstractNumId w:val="28"/>
  </w:num>
  <w:num w:numId="10" w16cid:durableId="174543547">
    <w:abstractNumId w:val="29"/>
  </w:num>
  <w:num w:numId="11" w16cid:durableId="1753044590">
    <w:abstractNumId w:val="28"/>
  </w:num>
  <w:num w:numId="12" w16cid:durableId="438448390">
    <w:abstractNumId w:val="9"/>
  </w:num>
  <w:num w:numId="13" w16cid:durableId="1300955916">
    <w:abstractNumId w:val="7"/>
  </w:num>
  <w:num w:numId="14" w16cid:durableId="1663502902">
    <w:abstractNumId w:val="30"/>
  </w:num>
  <w:num w:numId="15" w16cid:durableId="199325660">
    <w:abstractNumId w:val="10"/>
  </w:num>
  <w:num w:numId="16" w16cid:durableId="1770077014">
    <w:abstractNumId w:val="7"/>
  </w:num>
  <w:num w:numId="17" w16cid:durableId="405306452">
    <w:abstractNumId w:val="13"/>
  </w:num>
  <w:num w:numId="18" w16cid:durableId="1275938553">
    <w:abstractNumId w:val="25"/>
  </w:num>
  <w:num w:numId="19" w16cid:durableId="222446527">
    <w:abstractNumId w:val="18"/>
  </w:num>
  <w:num w:numId="20" w16cid:durableId="2026131332">
    <w:abstractNumId w:val="2"/>
  </w:num>
  <w:num w:numId="21" w16cid:durableId="1588542763">
    <w:abstractNumId w:val="32"/>
  </w:num>
  <w:num w:numId="22" w16cid:durableId="2122799026">
    <w:abstractNumId w:val="17"/>
  </w:num>
  <w:num w:numId="23" w16cid:durableId="954945982">
    <w:abstractNumId w:val="31"/>
  </w:num>
  <w:num w:numId="24" w16cid:durableId="1651859857">
    <w:abstractNumId w:val="6"/>
  </w:num>
  <w:num w:numId="25" w16cid:durableId="488986906">
    <w:abstractNumId w:val="26"/>
  </w:num>
  <w:num w:numId="26" w16cid:durableId="1432777695">
    <w:abstractNumId w:val="22"/>
  </w:num>
  <w:num w:numId="27" w16cid:durableId="1896887645">
    <w:abstractNumId w:val="4"/>
  </w:num>
  <w:num w:numId="28" w16cid:durableId="582252964">
    <w:abstractNumId w:val="33"/>
  </w:num>
  <w:num w:numId="29" w16cid:durableId="1173566864">
    <w:abstractNumId w:val="0"/>
  </w:num>
  <w:num w:numId="30" w16cid:durableId="1584995102">
    <w:abstractNumId w:val="15"/>
  </w:num>
  <w:num w:numId="31" w16cid:durableId="1778671400">
    <w:abstractNumId w:val="11"/>
  </w:num>
  <w:num w:numId="32" w16cid:durableId="19314239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6120622">
    <w:abstractNumId w:val="23"/>
  </w:num>
  <w:num w:numId="34" w16cid:durableId="1155220607">
    <w:abstractNumId w:val="14"/>
  </w:num>
  <w:num w:numId="35" w16cid:durableId="821848794">
    <w:abstractNumId w:val="28"/>
  </w:num>
  <w:num w:numId="36" w16cid:durableId="2066637328">
    <w:abstractNumId w:val="28"/>
  </w:num>
  <w:num w:numId="37" w16cid:durableId="456535364">
    <w:abstractNumId w:val="28"/>
  </w:num>
  <w:num w:numId="38" w16cid:durableId="1684433890">
    <w:abstractNumId w:val="28"/>
  </w:num>
  <w:num w:numId="39" w16cid:durableId="619721832">
    <w:abstractNumId w:val="28"/>
  </w:num>
  <w:num w:numId="40" w16cid:durableId="891893253">
    <w:abstractNumId w:val="28"/>
  </w:num>
  <w:num w:numId="41" w16cid:durableId="584844321">
    <w:abstractNumId w:val="28"/>
  </w:num>
  <w:num w:numId="42" w16cid:durableId="2056003803">
    <w:abstractNumId w:val="24"/>
  </w:num>
  <w:num w:numId="43" w16cid:durableId="1247769463">
    <w:abstractNumId w:val="34"/>
  </w:num>
  <w:num w:numId="44" w16cid:durableId="1392001453">
    <w:abstractNumId w:val="3"/>
  </w:num>
  <w:num w:numId="45" w16cid:durableId="299846634">
    <w:abstractNumId w:val="1"/>
  </w:num>
  <w:num w:numId="46" w16cid:durableId="535772295">
    <w:abstractNumId w:val="20"/>
  </w:num>
  <w:num w:numId="47" w16cid:durableId="9665420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90"/>
    <w:rsid w:val="0000219F"/>
    <w:rsid w:val="00005915"/>
    <w:rsid w:val="00006C48"/>
    <w:rsid w:val="0001582B"/>
    <w:rsid w:val="00020195"/>
    <w:rsid w:val="000262DC"/>
    <w:rsid w:val="00027E20"/>
    <w:rsid w:val="00031C37"/>
    <w:rsid w:val="0003790E"/>
    <w:rsid w:val="00043E6B"/>
    <w:rsid w:val="00050443"/>
    <w:rsid w:val="00053CE7"/>
    <w:rsid w:val="0006265E"/>
    <w:rsid w:val="0007136D"/>
    <w:rsid w:val="0007232A"/>
    <w:rsid w:val="000735CB"/>
    <w:rsid w:val="00075226"/>
    <w:rsid w:val="00080372"/>
    <w:rsid w:val="000827F6"/>
    <w:rsid w:val="00082B98"/>
    <w:rsid w:val="00094F0D"/>
    <w:rsid w:val="000B1720"/>
    <w:rsid w:val="000B17EF"/>
    <w:rsid w:val="000B1C4C"/>
    <w:rsid w:val="000B3010"/>
    <w:rsid w:val="000B521D"/>
    <w:rsid w:val="000B6145"/>
    <w:rsid w:val="000C0DCB"/>
    <w:rsid w:val="000C2F9B"/>
    <w:rsid w:val="000C7320"/>
    <w:rsid w:val="000D62E3"/>
    <w:rsid w:val="000E1BC4"/>
    <w:rsid w:val="000E2BD9"/>
    <w:rsid w:val="000E5A0F"/>
    <w:rsid w:val="000F2D8F"/>
    <w:rsid w:val="000F39AD"/>
    <w:rsid w:val="000F44F4"/>
    <w:rsid w:val="001075BC"/>
    <w:rsid w:val="00116D06"/>
    <w:rsid w:val="00117FEF"/>
    <w:rsid w:val="00130921"/>
    <w:rsid w:val="001313CA"/>
    <w:rsid w:val="00132B9B"/>
    <w:rsid w:val="00143728"/>
    <w:rsid w:val="00154B06"/>
    <w:rsid w:val="001710CD"/>
    <w:rsid w:val="00172958"/>
    <w:rsid w:val="00174117"/>
    <w:rsid w:val="0017550F"/>
    <w:rsid w:val="001769DB"/>
    <w:rsid w:val="0017713C"/>
    <w:rsid w:val="00181493"/>
    <w:rsid w:val="001867D1"/>
    <w:rsid w:val="001912C3"/>
    <w:rsid w:val="001942B0"/>
    <w:rsid w:val="00195685"/>
    <w:rsid w:val="001959FD"/>
    <w:rsid w:val="001B1BB6"/>
    <w:rsid w:val="001B31DA"/>
    <w:rsid w:val="001B34BE"/>
    <w:rsid w:val="001E626E"/>
    <w:rsid w:val="001F414C"/>
    <w:rsid w:val="001F5806"/>
    <w:rsid w:val="0020275F"/>
    <w:rsid w:val="0020514A"/>
    <w:rsid w:val="0020599B"/>
    <w:rsid w:val="00205C95"/>
    <w:rsid w:val="00206A8A"/>
    <w:rsid w:val="00207239"/>
    <w:rsid w:val="00211B27"/>
    <w:rsid w:val="002139F2"/>
    <w:rsid w:val="0021755C"/>
    <w:rsid w:val="002212BD"/>
    <w:rsid w:val="00224DC2"/>
    <w:rsid w:val="00225017"/>
    <w:rsid w:val="00237774"/>
    <w:rsid w:val="002432AB"/>
    <w:rsid w:val="002506F6"/>
    <w:rsid w:val="00252C21"/>
    <w:rsid w:val="002547A7"/>
    <w:rsid w:val="00256EDC"/>
    <w:rsid w:val="002579CA"/>
    <w:rsid w:val="002604CF"/>
    <w:rsid w:val="00263404"/>
    <w:rsid w:val="00263B68"/>
    <w:rsid w:val="00273B3D"/>
    <w:rsid w:val="0027635F"/>
    <w:rsid w:val="002801F6"/>
    <w:rsid w:val="00284764"/>
    <w:rsid w:val="0028738F"/>
    <w:rsid w:val="002952C5"/>
    <w:rsid w:val="002A4C55"/>
    <w:rsid w:val="002A589E"/>
    <w:rsid w:val="002A5D74"/>
    <w:rsid w:val="002A6817"/>
    <w:rsid w:val="002A7B52"/>
    <w:rsid w:val="002A7E91"/>
    <w:rsid w:val="002B0782"/>
    <w:rsid w:val="002B0F1D"/>
    <w:rsid w:val="002B25AF"/>
    <w:rsid w:val="002B4DB4"/>
    <w:rsid w:val="002D10AF"/>
    <w:rsid w:val="002D3666"/>
    <w:rsid w:val="002D39DA"/>
    <w:rsid w:val="002D3B11"/>
    <w:rsid w:val="002F2354"/>
    <w:rsid w:val="002F4F4E"/>
    <w:rsid w:val="002F5F66"/>
    <w:rsid w:val="002F6741"/>
    <w:rsid w:val="003000CD"/>
    <w:rsid w:val="00301830"/>
    <w:rsid w:val="00315A38"/>
    <w:rsid w:val="0033339A"/>
    <w:rsid w:val="00333934"/>
    <w:rsid w:val="00333BE6"/>
    <w:rsid w:val="00335331"/>
    <w:rsid w:val="00337821"/>
    <w:rsid w:val="0034145C"/>
    <w:rsid w:val="00342A31"/>
    <w:rsid w:val="00343430"/>
    <w:rsid w:val="00344B22"/>
    <w:rsid w:val="00350068"/>
    <w:rsid w:val="00350211"/>
    <w:rsid w:val="00350CAC"/>
    <w:rsid w:val="00351CC6"/>
    <w:rsid w:val="00354113"/>
    <w:rsid w:val="0035438F"/>
    <w:rsid w:val="00354A6C"/>
    <w:rsid w:val="0035538D"/>
    <w:rsid w:val="00356E7F"/>
    <w:rsid w:val="003650AA"/>
    <w:rsid w:val="00372E89"/>
    <w:rsid w:val="003733BF"/>
    <w:rsid w:val="00377345"/>
    <w:rsid w:val="003810D6"/>
    <w:rsid w:val="00381D4F"/>
    <w:rsid w:val="003823E0"/>
    <w:rsid w:val="00385B9B"/>
    <w:rsid w:val="00385D10"/>
    <w:rsid w:val="00385D28"/>
    <w:rsid w:val="00390AFA"/>
    <w:rsid w:val="003917C0"/>
    <w:rsid w:val="00395284"/>
    <w:rsid w:val="003A50DA"/>
    <w:rsid w:val="003C654D"/>
    <w:rsid w:val="003D2459"/>
    <w:rsid w:val="003D4111"/>
    <w:rsid w:val="003D5A52"/>
    <w:rsid w:val="003E76A8"/>
    <w:rsid w:val="003F170A"/>
    <w:rsid w:val="003F454C"/>
    <w:rsid w:val="003F6EE6"/>
    <w:rsid w:val="0040019A"/>
    <w:rsid w:val="00404CE7"/>
    <w:rsid w:val="004126B0"/>
    <w:rsid w:val="00414A64"/>
    <w:rsid w:val="00415EB6"/>
    <w:rsid w:val="004330F6"/>
    <w:rsid w:val="0043358A"/>
    <w:rsid w:val="00447ECA"/>
    <w:rsid w:val="004514BC"/>
    <w:rsid w:val="00452C59"/>
    <w:rsid w:val="0045390E"/>
    <w:rsid w:val="00455432"/>
    <w:rsid w:val="00463B3F"/>
    <w:rsid w:val="004676E5"/>
    <w:rsid w:val="00475D41"/>
    <w:rsid w:val="004765B9"/>
    <w:rsid w:val="00477DC2"/>
    <w:rsid w:val="00484607"/>
    <w:rsid w:val="00495B68"/>
    <w:rsid w:val="004975FF"/>
    <w:rsid w:val="004A2DBD"/>
    <w:rsid w:val="004A7528"/>
    <w:rsid w:val="004B0E4D"/>
    <w:rsid w:val="004B10FD"/>
    <w:rsid w:val="004B130A"/>
    <w:rsid w:val="004B29E0"/>
    <w:rsid w:val="004B6673"/>
    <w:rsid w:val="004C396E"/>
    <w:rsid w:val="004C3FFB"/>
    <w:rsid w:val="004D04F6"/>
    <w:rsid w:val="004D06D9"/>
    <w:rsid w:val="004D17FD"/>
    <w:rsid w:val="004D3A7E"/>
    <w:rsid w:val="004D44D1"/>
    <w:rsid w:val="004E3B3C"/>
    <w:rsid w:val="004F0D34"/>
    <w:rsid w:val="00502D00"/>
    <w:rsid w:val="005069E7"/>
    <w:rsid w:val="00510064"/>
    <w:rsid w:val="00513CAF"/>
    <w:rsid w:val="00521963"/>
    <w:rsid w:val="00526031"/>
    <w:rsid w:val="00526910"/>
    <w:rsid w:val="00530072"/>
    <w:rsid w:val="00531C28"/>
    <w:rsid w:val="0053460B"/>
    <w:rsid w:val="0053474D"/>
    <w:rsid w:val="00541FF8"/>
    <w:rsid w:val="005474D1"/>
    <w:rsid w:val="00552008"/>
    <w:rsid w:val="00552411"/>
    <w:rsid w:val="00552E4D"/>
    <w:rsid w:val="005535D8"/>
    <w:rsid w:val="0055693D"/>
    <w:rsid w:val="00575214"/>
    <w:rsid w:val="00583EB5"/>
    <w:rsid w:val="0058537E"/>
    <w:rsid w:val="00586BFA"/>
    <w:rsid w:val="00587B53"/>
    <w:rsid w:val="00594008"/>
    <w:rsid w:val="00596503"/>
    <w:rsid w:val="005966A7"/>
    <w:rsid w:val="005A7965"/>
    <w:rsid w:val="005B309A"/>
    <w:rsid w:val="005B65F4"/>
    <w:rsid w:val="005B7971"/>
    <w:rsid w:val="005D193D"/>
    <w:rsid w:val="005D2246"/>
    <w:rsid w:val="005D4A1C"/>
    <w:rsid w:val="005F1BA1"/>
    <w:rsid w:val="005F2C31"/>
    <w:rsid w:val="005F381E"/>
    <w:rsid w:val="005F5B11"/>
    <w:rsid w:val="005F7685"/>
    <w:rsid w:val="00602ABE"/>
    <w:rsid w:val="00603DB5"/>
    <w:rsid w:val="0060705D"/>
    <w:rsid w:val="00613DB9"/>
    <w:rsid w:val="00614DFC"/>
    <w:rsid w:val="00616677"/>
    <w:rsid w:val="0062553B"/>
    <w:rsid w:val="0064185C"/>
    <w:rsid w:val="00642182"/>
    <w:rsid w:val="00646197"/>
    <w:rsid w:val="00654237"/>
    <w:rsid w:val="00660130"/>
    <w:rsid w:val="00661E8C"/>
    <w:rsid w:val="0066416A"/>
    <w:rsid w:val="00673C44"/>
    <w:rsid w:val="006773AA"/>
    <w:rsid w:val="00680207"/>
    <w:rsid w:val="006852AC"/>
    <w:rsid w:val="006929AD"/>
    <w:rsid w:val="00695315"/>
    <w:rsid w:val="006956FF"/>
    <w:rsid w:val="006A4627"/>
    <w:rsid w:val="006B29D6"/>
    <w:rsid w:val="006B75AF"/>
    <w:rsid w:val="006D075F"/>
    <w:rsid w:val="006E0F7E"/>
    <w:rsid w:val="006E4CC7"/>
    <w:rsid w:val="006F3B49"/>
    <w:rsid w:val="006F4EFF"/>
    <w:rsid w:val="00702C87"/>
    <w:rsid w:val="007134D6"/>
    <w:rsid w:val="00721D1F"/>
    <w:rsid w:val="00724A46"/>
    <w:rsid w:val="007258D2"/>
    <w:rsid w:val="007324DE"/>
    <w:rsid w:val="00733AE9"/>
    <w:rsid w:val="00734148"/>
    <w:rsid w:val="007368C9"/>
    <w:rsid w:val="00740040"/>
    <w:rsid w:val="007440D6"/>
    <w:rsid w:val="00747D7E"/>
    <w:rsid w:val="00750529"/>
    <w:rsid w:val="007575CE"/>
    <w:rsid w:val="00762605"/>
    <w:rsid w:val="00765E2D"/>
    <w:rsid w:val="00777344"/>
    <w:rsid w:val="00786DD5"/>
    <w:rsid w:val="007872B2"/>
    <w:rsid w:val="0078798B"/>
    <w:rsid w:val="00787EF2"/>
    <w:rsid w:val="0079439C"/>
    <w:rsid w:val="00795DF2"/>
    <w:rsid w:val="007A691D"/>
    <w:rsid w:val="007B4BD2"/>
    <w:rsid w:val="007C2BFF"/>
    <w:rsid w:val="007C42AC"/>
    <w:rsid w:val="007D0492"/>
    <w:rsid w:val="007D131C"/>
    <w:rsid w:val="007D1D1D"/>
    <w:rsid w:val="007E41F3"/>
    <w:rsid w:val="007E4C7C"/>
    <w:rsid w:val="007E5210"/>
    <w:rsid w:val="007E7279"/>
    <w:rsid w:val="007E7474"/>
    <w:rsid w:val="007F411B"/>
    <w:rsid w:val="00810702"/>
    <w:rsid w:val="00814E2C"/>
    <w:rsid w:val="008172B7"/>
    <w:rsid w:val="00824576"/>
    <w:rsid w:val="00825A56"/>
    <w:rsid w:val="00830D16"/>
    <w:rsid w:val="00831227"/>
    <w:rsid w:val="00832FDE"/>
    <w:rsid w:val="008628B3"/>
    <w:rsid w:val="00874914"/>
    <w:rsid w:val="00880E25"/>
    <w:rsid w:val="00881E3B"/>
    <w:rsid w:val="00885D0A"/>
    <w:rsid w:val="00886E7E"/>
    <w:rsid w:val="0089123D"/>
    <w:rsid w:val="00894CDC"/>
    <w:rsid w:val="008B5822"/>
    <w:rsid w:val="008D1187"/>
    <w:rsid w:val="008D35A9"/>
    <w:rsid w:val="008D757C"/>
    <w:rsid w:val="008E0788"/>
    <w:rsid w:val="008E387C"/>
    <w:rsid w:val="0090009A"/>
    <w:rsid w:val="00904BD4"/>
    <w:rsid w:val="009062C0"/>
    <w:rsid w:val="00911BD7"/>
    <w:rsid w:val="0091271A"/>
    <w:rsid w:val="009303B2"/>
    <w:rsid w:val="00941684"/>
    <w:rsid w:val="0094441C"/>
    <w:rsid w:val="00952D67"/>
    <w:rsid w:val="00953D37"/>
    <w:rsid w:val="00961BD0"/>
    <w:rsid w:val="00963422"/>
    <w:rsid w:val="00964599"/>
    <w:rsid w:val="00964915"/>
    <w:rsid w:val="00965DBF"/>
    <w:rsid w:val="009667ED"/>
    <w:rsid w:val="009710BF"/>
    <w:rsid w:val="00974618"/>
    <w:rsid w:val="00981013"/>
    <w:rsid w:val="00981EC0"/>
    <w:rsid w:val="0098428D"/>
    <w:rsid w:val="0099652B"/>
    <w:rsid w:val="009D0946"/>
    <w:rsid w:val="009D212D"/>
    <w:rsid w:val="009D75F5"/>
    <w:rsid w:val="009E28E2"/>
    <w:rsid w:val="009F04AC"/>
    <w:rsid w:val="009F5AF0"/>
    <w:rsid w:val="009F7F03"/>
    <w:rsid w:val="00A001E1"/>
    <w:rsid w:val="00A05297"/>
    <w:rsid w:val="00A15150"/>
    <w:rsid w:val="00A20FD1"/>
    <w:rsid w:val="00A215D3"/>
    <w:rsid w:val="00A26273"/>
    <w:rsid w:val="00A37B9B"/>
    <w:rsid w:val="00A47955"/>
    <w:rsid w:val="00A53029"/>
    <w:rsid w:val="00A548CA"/>
    <w:rsid w:val="00A62C92"/>
    <w:rsid w:val="00A63DF4"/>
    <w:rsid w:val="00A70F6F"/>
    <w:rsid w:val="00A71CA6"/>
    <w:rsid w:val="00A74F7C"/>
    <w:rsid w:val="00A77D1E"/>
    <w:rsid w:val="00A81C36"/>
    <w:rsid w:val="00A82CE6"/>
    <w:rsid w:val="00A976D6"/>
    <w:rsid w:val="00AA4036"/>
    <w:rsid w:val="00AA5B21"/>
    <w:rsid w:val="00AA5CD5"/>
    <w:rsid w:val="00AB35E0"/>
    <w:rsid w:val="00AB60A1"/>
    <w:rsid w:val="00AC1EEC"/>
    <w:rsid w:val="00AC3C34"/>
    <w:rsid w:val="00AC424B"/>
    <w:rsid w:val="00AC7F1A"/>
    <w:rsid w:val="00AD2CEE"/>
    <w:rsid w:val="00AD5870"/>
    <w:rsid w:val="00AD6A6C"/>
    <w:rsid w:val="00AE146F"/>
    <w:rsid w:val="00AE224B"/>
    <w:rsid w:val="00AE31E3"/>
    <w:rsid w:val="00AF04E5"/>
    <w:rsid w:val="00AF4BED"/>
    <w:rsid w:val="00B025A7"/>
    <w:rsid w:val="00B131B9"/>
    <w:rsid w:val="00B13902"/>
    <w:rsid w:val="00B160D1"/>
    <w:rsid w:val="00B21C50"/>
    <w:rsid w:val="00B27135"/>
    <w:rsid w:val="00B27CFB"/>
    <w:rsid w:val="00B40500"/>
    <w:rsid w:val="00B415A2"/>
    <w:rsid w:val="00B47981"/>
    <w:rsid w:val="00B508A5"/>
    <w:rsid w:val="00B616EB"/>
    <w:rsid w:val="00B645A1"/>
    <w:rsid w:val="00B7280B"/>
    <w:rsid w:val="00B72CC7"/>
    <w:rsid w:val="00B77F31"/>
    <w:rsid w:val="00B83662"/>
    <w:rsid w:val="00B87A59"/>
    <w:rsid w:val="00B9503A"/>
    <w:rsid w:val="00BA37B4"/>
    <w:rsid w:val="00BB1BDA"/>
    <w:rsid w:val="00BB45A5"/>
    <w:rsid w:val="00BB77B5"/>
    <w:rsid w:val="00BC1AEC"/>
    <w:rsid w:val="00BD34EC"/>
    <w:rsid w:val="00BD3615"/>
    <w:rsid w:val="00BD6B70"/>
    <w:rsid w:val="00BE4472"/>
    <w:rsid w:val="00BE5E36"/>
    <w:rsid w:val="00BE70DF"/>
    <w:rsid w:val="00BF6C4D"/>
    <w:rsid w:val="00BF7564"/>
    <w:rsid w:val="00C00F6E"/>
    <w:rsid w:val="00C019A8"/>
    <w:rsid w:val="00C054BD"/>
    <w:rsid w:val="00C06FBD"/>
    <w:rsid w:val="00C10B6A"/>
    <w:rsid w:val="00C139DA"/>
    <w:rsid w:val="00C1561C"/>
    <w:rsid w:val="00C21096"/>
    <w:rsid w:val="00C21A3E"/>
    <w:rsid w:val="00C21B24"/>
    <w:rsid w:val="00C264A2"/>
    <w:rsid w:val="00C26CF7"/>
    <w:rsid w:val="00C301D5"/>
    <w:rsid w:val="00C33166"/>
    <w:rsid w:val="00C5029F"/>
    <w:rsid w:val="00C56433"/>
    <w:rsid w:val="00C5749C"/>
    <w:rsid w:val="00C62E76"/>
    <w:rsid w:val="00C65096"/>
    <w:rsid w:val="00C708E8"/>
    <w:rsid w:val="00C70AAC"/>
    <w:rsid w:val="00C70EF1"/>
    <w:rsid w:val="00C73BD4"/>
    <w:rsid w:val="00C82160"/>
    <w:rsid w:val="00C82410"/>
    <w:rsid w:val="00C93626"/>
    <w:rsid w:val="00CA06B8"/>
    <w:rsid w:val="00CA1F3D"/>
    <w:rsid w:val="00CA3C4A"/>
    <w:rsid w:val="00CB2DFB"/>
    <w:rsid w:val="00CB7EB0"/>
    <w:rsid w:val="00CC1031"/>
    <w:rsid w:val="00CC6829"/>
    <w:rsid w:val="00CC6BCF"/>
    <w:rsid w:val="00CD062B"/>
    <w:rsid w:val="00CE6819"/>
    <w:rsid w:val="00CF4290"/>
    <w:rsid w:val="00D00F44"/>
    <w:rsid w:val="00D02F48"/>
    <w:rsid w:val="00D03319"/>
    <w:rsid w:val="00D034BA"/>
    <w:rsid w:val="00D058EC"/>
    <w:rsid w:val="00D074AD"/>
    <w:rsid w:val="00D078BF"/>
    <w:rsid w:val="00D10168"/>
    <w:rsid w:val="00D14662"/>
    <w:rsid w:val="00D162B2"/>
    <w:rsid w:val="00D16B59"/>
    <w:rsid w:val="00D174B9"/>
    <w:rsid w:val="00D32511"/>
    <w:rsid w:val="00D41922"/>
    <w:rsid w:val="00D435A6"/>
    <w:rsid w:val="00D46024"/>
    <w:rsid w:val="00D54726"/>
    <w:rsid w:val="00D55459"/>
    <w:rsid w:val="00D55AAC"/>
    <w:rsid w:val="00D666A6"/>
    <w:rsid w:val="00D767A6"/>
    <w:rsid w:val="00D86944"/>
    <w:rsid w:val="00D87ABD"/>
    <w:rsid w:val="00D92035"/>
    <w:rsid w:val="00D976E4"/>
    <w:rsid w:val="00DA1000"/>
    <w:rsid w:val="00DA64D1"/>
    <w:rsid w:val="00DB0803"/>
    <w:rsid w:val="00DB2D16"/>
    <w:rsid w:val="00DB6158"/>
    <w:rsid w:val="00DB6582"/>
    <w:rsid w:val="00DC4503"/>
    <w:rsid w:val="00DD4507"/>
    <w:rsid w:val="00DD4F36"/>
    <w:rsid w:val="00DD5055"/>
    <w:rsid w:val="00DE553A"/>
    <w:rsid w:val="00DE6083"/>
    <w:rsid w:val="00DF343A"/>
    <w:rsid w:val="00DF3C6F"/>
    <w:rsid w:val="00E00717"/>
    <w:rsid w:val="00E05ED2"/>
    <w:rsid w:val="00E12DAE"/>
    <w:rsid w:val="00E21011"/>
    <w:rsid w:val="00E238DE"/>
    <w:rsid w:val="00E247D7"/>
    <w:rsid w:val="00E25512"/>
    <w:rsid w:val="00E36E38"/>
    <w:rsid w:val="00E37D27"/>
    <w:rsid w:val="00E37E28"/>
    <w:rsid w:val="00E445CF"/>
    <w:rsid w:val="00E53618"/>
    <w:rsid w:val="00E55B8D"/>
    <w:rsid w:val="00E603A4"/>
    <w:rsid w:val="00E66EEC"/>
    <w:rsid w:val="00E93534"/>
    <w:rsid w:val="00E96A85"/>
    <w:rsid w:val="00EA0B0B"/>
    <w:rsid w:val="00EA3530"/>
    <w:rsid w:val="00EA45B5"/>
    <w:rsid w:val="00EA7B5D"/>
    <w:rsid w:val="00EC3E20"/>
    <w:rsid w:val="00ED13FA"/>
    <w:rsid w:val="00ED348C"/>
    <w:rsid w:val="00ED485C"/>
    <w:rsid w:val="00ED4D0E"/>
    <w:rsid w:val="00ED63B1"/>
    <w:rsid w:val="00EE2F9E"/>
    <w:rsid w:val="00EE5003"/>
    <w:rsid w:val="00EE6FE6"/>
    <w:rsid w:val="00EF598D"/>
    <w:rsid w:val="00EF5C5A"/>
    <w:rsid w:val="00F0311A"/>
    <w:rsid w:val="00F1493A"/>
    <w:rsid w:val="00F21B4E"/>
    <w:rsid w:val="00F23842"/>
    <w:rsid w:val="00F3116A"/>
    <w:rsid w:val="00F33C91"/>
    <w:rsid w:val="00F45AD1"/>
    <w:rsid w:val="00F50F0B"/>
    <w:rsid w:val="00F51817"/>
    <w:rsid w:val="00F54642"/>
    <w:rsid w:val="00F57977"/>
    <w:rsid w:val="00F63765"/>
    <w:rsid w:val="00F66500"/>
    <w:rsid w:val="00F71E1A"/>
    <w:rsid w:val="00F72C3A"/>
    <w:rsid w:val="00F74C2E"/>
    <w:rsid w:val="00F763A0"/>
    <w:rsid w:val="00F842C7"/>
    <w:rsid w:val="00F9684A"/>
    <w:rsid w:val="00FB55E3"/>
    <w:rsid w:val="00FC2030"/>
    <w:rsid w:val="00FD3C1A"/>
    <w:rsid w:val="00FE263C"/>
    <w:rsid w:val="00FE2BE4"/>
    <w:rsid w:val="00FF5EC8"/>
    <w:rsid w:val="345324B6"/>
    <w:rsid w:val="3A7C4573"/>
    <w:rsid w:val="3D514B0E"/>
    <w:rsid w:val="46C5F9C9"/>
    <w:rsid w:val="50BFF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BA5F"/>
  <w15:chartTrackingRefBased/>
  <w15:docId w15:val="{C10A3B91-7E00-4D5A-90E8-212F687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5D74"/>
    <w:pPr>
      <w:keepNext/>
      <w:spacing w:before="180" w:after="120"/>
      <w:ind w:left="0"/>
      <w:jc w:val="left"/>
      <w:outlineLvl w:val="0"/>
    </w:pPr>
    <w:rPr>
      <w:rFonts w:asciiTheme="minorHAnsi" w:eastAsia="Arial Unicode MS" w:hAnsiTheme="minorHAnsi" w:cstheme="minorHAnsi"/>
      <w:b/>
      <w:bCs/>
      <w:caps/>
      <w:kern w:val="36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link w:val="Heading2Char"/>
    <w:qFormat/>
    <w:rsid w:val="00CF429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aliases w:val="h3"/>
    <w:basedOn w:val="Normal"/>
    <w:link w:val="Heading3Char"/>
    <w:qFormat/>
    <w:rsid w:val="00CF429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aliases w:val="4"/>
    <w:basedOn w:val="Normal"/>
    <w:link w:val="Heading4Char"/>
    <w:qFormat/>
    <w:rsid w:val="00CF429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aliases w:val="5"/>
    <w:basedOn w:val="Normal"/>
    <w:link w:val="Heading5Char"/>
    <w:qFormat/>
    <w:rsid w:val="00CF429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aliases w:val="6"/>
    <w:basedOn w:val="Normal"/>
    <w:next w:val="Normal"/>
    <w:link w:val="Heading6Char"/>
    <w:qFormat/>
    <w:rsid w:val="00CF429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429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429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429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D74"/>
    <w:rPr>
      <w:rFonts w:eastAsia="Arial Unicode MS" w:cstheme="minorHAnsi"/>
      <w:b/>
      <w:bCs/>
      <w:caps/>
      <w:kern w:val="36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CF42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CF42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aliases w:val="4 Char"/>
    <w:basedOn w:val="DefaultParagraphFont"/>
    <w:link w:val="Heading4"/>
    <w:rsid w:val="00CF42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aliases w:val="5 Char"/>
    <w:basedOn w:val="DefaultParagraphFont"/>
    <w:link w:val="Heading5"/>
    <w:rsid w:val="00CF42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aliases w:val="6 Char"/>
    <w:basedOn w:val="DefaultParagraphFont"/>
    <w:link w:val="Heading6"/>
    <w:rsid w:val="00CF42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F42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42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42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F4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F42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F42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F42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42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42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2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42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4290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CF4290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CF42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4290"/>
  </w:style>
  <w:style w:type="paragraph" w:styleId="TOCHeading">
    <w:name w:val="TOC Heading"/>
    <w:basedOn w:val="Heading1"/>
    <w:next w:val="Normal"/>
    <w:uiPriority w:val="39"/>
    <w:unhideWhenUsed/>
    <w:qFormat/>
    <w:rsid w:val="000E2BD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BD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E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500"/>
    <w:pPr>
      <w:spacing w:before="100" w:beforeAutospacing="1" w:after="100" w:afterAutospacing="1"/>
      <w:ind w:left="0"/>
      <w:jc w:val="left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27E2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E2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3C34"/>
    <w:rPr>
      <w:i/>
      <w:iCs/>
    </w:rPr>
  </w:style>
  <w:style w:type="paragraph" w:styleId="ListParagraph">
    <w:name w:val="List Paragraph"/>
    <w:basedOn w:val="Normal"/>
    <w:uiPriority w:val="34"/>
    <w:qFormat/>
    <w:rsid w:val="00AC3C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50F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F0B"/>
    <w:rPr>
      <w:rFonts w:ascii="Times New Roman" w:eastAsia="Times New Roman" w:hAnsi="Times New Roman" w:cs="Times New Roman"/>
      <w:sz w:val="16"/>
      <w:szCs w:val="16"/>
    </w:rPr>
  </w:style>
  <w:style w:type="paragraph" w:customStyle="1" w:styleId="Method123subsubheading">
    <w:name w:val="Method123 sub sub heading"/>
    <w:basedOn w:val="Heading3"/>
    <w:rsid w:val="00F50F0B"/>
    <w:pPr>
      <w:numPr>
        <w:numId w:val="9"/>
      </w:numPr>
      <w:tabs>
        <w:tab w:val="clear" w:pos="864"/>
        <w:tab w:val="num" w:pos="720"/>
      </w:tabs>
      <w:spacing w:before="240"/>
    </w:pPr>
    <w:rPr>
      <w:rFonts w:ascii="Imago Book" w:eastAsia="Times New Roman" w:hAnsi="Imago Book" w:cs="Arial"/>
      <w:i/>
      <w:color w:val="313896"/>
      <w:sz w:val="22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BE70DF"/>
    <w:pPr>
      <w:spacing w:after="100"/>
      <w:ind w:left="480"/>
    </w:pPr>
  </w:style>
  <w:style w:type="table" w:styleId="TableGrid">
    <w:name w:val="Table Grid"/>
    <w:basedOn w:val="TableNormal"/>
    <w:uiPriority w:val="39"/>
    <w:rsid w:val="0060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AB7E17FDE948A2E83BE5A7669695" ma:contentTypeVersion="4" ma:contentTypeDescription="Create a new document." ma:contentTypeScope="" ma:versionID="42e8083ee129f28272d6ef401beeba7a">
  <xsd:schema xmlns:xsd="http://www.w3.org/2001/XMLSchema" xmlns:xs="http://www.w3.org/2001/XMLSchema" xmlns:p="http://schemas.microsoft.com/office/2006/metadata/properties" xmlns:ns2="9d0402e1-2967-4a9f-af2c-49160a99758a" targetNamespace="http://schemas.microsoft.com/office/2006/metadata/properties" ma:root="true" ma:fieldsID="2b566b2c569996fafc2d0ccfc670e054" ns2:_="">
    <xsd:import namespace="9d0402e1-2967-4a9f-af2c-49160a997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02e1-2967-4a9f-af2c-49160a9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48E18-3142-4C48-94BC-CCF9BE188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004576-734F-4C9C-B5F7-878C75D6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402e1-2967-4a9f-af2c-49160a99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279ED-5386-4DEC-909A-91560381C1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E2268-A57D-4F66-9CF1-03EEC7A76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Zighan</dc:creator>
  <cp:keywords/>
  <dc:description/>
  <cp:lastModifiedBy>Vinod Tiwari</cp:lastModifiedBy>
  <cp:revision>87</cp:revision>
  <cp:lastPrinted>2023-10-12T17:57:00Z</cp:lastPrinted>
  <dcterms:created xsi:type="dcterms:W3CDTF">2023-10-12T13:31:00Z</dcterms:created>
  <dcterms:modified xsi:type="dcterms:W3CDTF">2023-10-13T08:38:00Z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0x010100A2AAAB7E17FDE948A2E83BE5A7669695</vt:lpwstr>
  </property>
  <property fmtid="{D5CDD505-2E9C-101B-9397-08002B2CF9AE}" pid="3" name="MediaServiceImageTags">
    <vt:lpwstr/>
  </property>
</Properties>
</file>