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0027" w14:textId="77777777" w:rsidR="00137BE1" w:rsidRDefault="00137BE1" w:rsidP="00492434"/>
    <w:p w14:paraId="03543CCA" w14:textId="77777777" w:rsidR="00F96FC6" w:rsidRDefault="00F96FC6" w:rsidP="00492434"/>
    <w:p w14:paraId="4E2E7CD1" w14:textId="77777777" w:rsidR="00137BE1" w:rsidRDefault="00137BE1" w:rsidP="00137BE1">
      <w:pPr>
        <w:jc w:val="center"/>
        <w:rPr>
          <w:sz w:val="56"/>
          <w:szCs w:val="56"/>
        </w:rPr>
      </w:pPr>
    </w:p>
    <w:p w14:paraId="3F69D9F9" w14:textId="77777777" w:rsidR="00137BE1" w:rsidRDefault="00137BE1" w:rsidP="00137BE1">
      <w:pPr>
        <w:jc w:val="center"/>
        <w:rPr>
          <w:sz w:val="56"/>
          <w:szCs w:val="56"/>
        </w:rPr>
      </w:pPr>
    </w:p>
    <w:p w14:paraId="43204C54" w14:textId="77777777" w:rsidR="00137BE1" w:rsidRDefault="00137BE1" w:rsidP="00137BE1">
      <w:pPr>
        <w:jc w:val="center"/>
        <w:rPr>
          <w:sz w:val="56"/>
          <w:szCs w:val="56"/>
        </w:rPr>
      </w:pPr>
    </w:p>
    <w:p w14:paraId="785C08A7" w14:textId="77777777" w:rsidR="00137BE1" w:rsidRDefault="00137BE1" w:rsidP="00137BE1">
      <w:pPr>
        <w:jc w:val="center"/>
        <w:rPr>
          <w:sz w:val="56"/>
          <w:szCs w:val="56"/>
        </w:rPr>
      </w:pPr>
    </w:p>
    <w:p w14:paraId="4CD0181E" w14:textId="7DC4E98C" w:rsidR="00162294" w:rsidRDefault="00137BE1" w:rsidP="00137BE1">
      <w:pPr>
        <w:jc w:val="center"/>
        <w:rPr>
          <w:sz w:val="56"/>
          <w:szCs w:val="56"/>
        </w:rPr>
      </w:pPr>
      <w:proofErr w:type="spellStart"/>
      <w:r w:rsidRPr="00137BE1">
        <w:rPr>
          <w:sz w:val="56"/>
          <w:szCs w:val="56"/>
        </w:rPr>
        <w:t>Bluestock</w:t>
      </w:r>
      <w:proofErr w:type="spellEnd"/>
      <w:r w:rsidRPr="00137BE1">
        <w:rPr>
          <w:sz w:val="56"/>
          <w:szCs w:val="56"/>
        </w:rPr>
        <w:t xml:space="preserve"> Mutual Fund Analytics</w:t>
      </w:r>
    </w:p>
    <w:p w14:paraId="1B776741" w14:textId="09561A66" w:rsidR="00137BE1" w:rsidRDefault="00137BE1" w:rsidP="00137BE1">
      <w:pPr>
        <w:jc w:val="center"/>
        <w:rPr>
          <w:sz w:val="36"/>
          <w:szCs w:val="36"/>
        </w:rPr>
      </w:pPr>
      <w:r w:rsidRPr="00137BE1">
        <w:rPr>
          <w:sz w:val="36"/>
          <w:szCs w:val="36"/>
        </w:rPr>
        <w:t>Final Capstone Report</w:t>
      </w:r>
    </w:p>
    <w:p w14:paraId="0BDCD9A8" w14:textId="77777777" w:rsidR="00137BE1" w:rsidRPr="00137BE1" w:rsidRDefault="00137BE1" w:rsidP="00137BE1">
      <w:pPr>
        <w:spacing w:after="0"/>
        <w:jc w:val="center"/>
      </w:pPr>
      <w:r w:rsidRPr="00137BE1">
        <w:t>Prepared by: Vinod Kumar Vasantha</w:t>
      </w:r>
    </w:p>
    <w:p w14:paraId="3296C77E" w14:textId="77777777" w:rsidR="00137BE1" w:rsidRPr="00137BE1" w:rsidRDefault="00137BE1" w:rsidP="00137BE1">
      <w:pPr>
        <w:spacing w:after="0"/>
        <w:jc w:val="center"/>
      </w:pPr>
      <w:r w:rsidRPr="00137BE1">
        <w:t>Date: August 2026</w:t>
      </w:r>
    </w:p>
    <w:p w14:paraId="6690C8EC" w14:textId="5D6FEEDC" w:rsidR="00137BE1" w:rsidRDefault="00137BE1" w:rsidP="00137BE1">
      <w:pPr>
        <w:spacing w:after="0"/>
        <w:jc w:val="center"/>
      </w:pPr>
      <w:r w:rsidRPr="00137BE1">
        <w:t xml:space="preserve">GitHub: </w:t>
      </w:r>
      <w:proofErr w:type="spellStart"/>
      <w:r w:rsidRPr="00137BE1">
        <w:t>vinodkumarvasantha</w:t>
      </w:r>
      <w:proofErr w:type="spellEnd"/>
      <w:r w:rsidRPr="00137BE1">
        <w:t>/Mutual-Fund-Analytics</w:t>
      </w:r>
    </w:p>
    <w:p w14:paraId="0CE1A8CD" w14:textId="77777777" w:rsidR="00137BE1" w:rsidRDefault="00137BE1" w:rsidP="00137BE1">
      <w:pPr>
        <w:spacing w:after="0"/>
        <w:jc w:val="center"/>
      </w:pPr>
    </w:p>
    <w:p w14:paraId="1149BF6F" w14:textId="77777777" w:rsidR="00137BE1" w:rsidRDefault="00137BE1" w:rsidP="00137BE1">
      <w:pPr>
        <w:spacing w:after="0"/>
        <w:jc w:val="center"/>
      </w:pPr>
    </w:p>
    <w:p w14:paraId="55A05F0A" w14:textId="77777777" w:rsidR="00137BE1" w:rsidRDefault="00137BE1" w:rsidP="00137BE1">
      <w:pPr>
        <w:spacing w:after="0"/>
        <w:jc w:val="center"/>
      </w:pPr>
    </w:p>
    <w:p w14:paraId="14F48479" w14:textId="77777777" w:rsidR="00137BE1" w:rsidRDefault="00137BE1" w:rsidP="00137BE1">
      <w:pPr>
        <w:spacing w:after="0"/>
        <w:jc w:val="center"/>
      </w:pPr>
    </w:p>
    <w:p w14:paraId="00D6DC8C" w14:textId="77777777" w:rsidR="00137BE1" w:rsidRDefault="00137BE1" w:rsidP="00137BE1">
      <w:pPr>
        <w:spacing w:after="0"/>
        <w:jc w:val="center"/>
      </w:pPr>
    </w:p>
    <w:p w14:paraId="6553CF60" w14:textId="77777777" w:rsidR="00137BE1" w:rsidRDefault="00137BE1" w:rsidP="00137BE1">
      <w:pPr>
        <w:spacing w:after="0"/>
        <w:jc w:val="center"/>
      </w:pPr>
    </w:p>
    <w:p w14:paraId="62D14065" w14:textId="77777777" w:rsidR="00137BE1" w:rsidRDefault="00137BE1" w:rsidP="00137BE1">
      <w:pPr>
        <w:spacing w:after="0"/>
        <w:jc w:val="center"/>
      </w:pPr>
    </w:p>
    <w:p w14:paraId="71107E9D" w14:textId="77777777" w:rsidR="00137BE1" w:rsidRDefault="00137BE1" w:rsidP="00137BE1">
      <w:pPr>
        <w:spacing w:after="0"/>
        <w:jc w:val="center"/>
      </w:pPr>
    </w:p>
    <w:p w14:paraId="58834D26" w14:textId="77777777" w:rsidR="00137BE1" w:rsidRDefault="00137BE1" w:rsidP="00137BE1">
      <w:pPr>
        <w:spacing w:after="0"/>
        <w:jc w:val="center"/>
      </w:pPr>
    </w:p>
    <w:p w14:paraId="16DB786E" w14:textId="77777777" w:rsidR="00137BE1" w:rsidRDefault="00137BE1" w:rsidP="00137BE1">
      <w:pPr>
        <w:spacing w:after="0"/>
        <w:jc w:val="center"/>
      </w:pPr>
    </w:p>
    <w:p w14:paraId="4E21A843" w14:textId="77777777" w:rsidR="00137BE1" w:rsidRDefault="00137BE1" w:rsidP="00137BE1">
      <w:pPr>
        <w:spacing w:after="0"/>
        <w:jc w:val="center"/>
      </w:pPr>
    </w:p>
    <w:p w14:paraId="60A8FE47" w14:textId="77777777" w:rsidR="00137BE1" w:rsidRDefault="00137BE1" w:rsidP="00137BE1">
      <w:pPr>
        <w:spacing w:after="0"/>
        <w:jc w:val="center"/>
      </w:pPr>
    </w:p>
    <w:p w14:paraId="1E78B596" w14:textId="77777777" w:rsidR="00137BE1" w:rsidRDefault="00137BE1" w:rsidP="00137BE1">
      <w:pPr>
        <w:spacing w:after="0"/>
        <w:jc w:val="center"/>
      </w:pPr>
    </w:p>
    <w:p w14:paraId="4A04F89A" w14:textId="77777777" w:rsidR="00137BE1" w:rsidRDefault="00137BE1" w:rsidP="00137BE1">
      <w:pPr>
        <w:spacing w:after="0"/>
        <w:jc w:val="center"/>
      </w:pPr>
    </w:p>
    <w:p w14:paraId="20502012" w14:textId="77777777" w:rsidR="00137BE1" w:rsidRDefault="00137BE1" w:rsidP="00137BE1">
      <w:pPr>
        <w:spacing w:after="0"/>
        <w:jc w:val="center"/>
      </w:pPr>
    </w:p>
    <w:p w14:paraId="1FA8D53F" w14:textId="77777777" w:rsidR="00137BE1" w:rsidRDefault="00137BE1" w:rsidP="00137BE1">
      <w:pPr>
        <w:spacing w:after="0"/>
        <w:jc w:val="center"/>
      </w:pPr>
    </w:p>
    <w:p w14:paraId="2BB4DFC3" w14:textId="364948A4" w:rsidR="00137BE1" w:rsidRDefault="00137BE1" w:rsidP="00137BE1">
      <w:pPr>
        <w:spacing w:after="0"/>
        <w:rPr>
          <w:b/>
          <w:bCs/>
          <w:sz w:val="32"/>
          <w:szCs w:val="32"/>
        </w:rPr>
      </w:pPr>
      <w:r w:rsidRPr="00137BE1">
        <w:rPr>
          <w:b/>
          <w:bCs/>
          <w:sz w:val="32"/>
          <w:szCs w:val="32"/>
        </w:rPr>
        <w:lastRenderedPageBreak/>
        <w:t>Table of Contents</w:t>
      </w:r>
    </w:p>
    <w:sdt>
      <w:sdtPr>
        <w:rPr>
          <w:rFonts w:asciiTheme="minorHAnsi" w:eastAsiaTheme="minorHAnsi" w:hAnsiTheme="minorHAnsi" w:cstheme="minorBidi"/>
          <w:color w:val="auto"/>
          <w:kern w:val="2"/>
          <w:sz w:val="24"/>
          <w:szCs w:val="24"/>
          <w14:ligatures w14:val="standardContextual"/>
        </w:rPr>
        <w:id w:val="-178890449"/>
        <w:docPartObj>
          <w:docPartGallery w:val="Table of Contents"/>
          <w:docPartUnique/>
        </w:docPartObj>
      </w:sdtPr>
      <w:sdtEndPr>
        <w:rPr>
          <w:b/>
          <w:bCs/>
          <w:noProof/>
        </w:rPr>
      </w:sdtEndPr>
      <w:sdtContent>
        <w:p w14:paraId="4FA3F262" w14:textId="40EA6184" w:rsidR="00864D1B" w:rsidRDefault="00864D1B" w:rsidP="00864D1B">
          <w:pPr>
            <w:pStyle w:val="TOCHeading"/>
            <w:jc w:val="both"/>
          </w:pPr>
          <w:r>
            <w:t>Contents</w:t>
          </w:r>
        </w:p>
        <w:p w14:paraId="7AC37E0A" w14:textId="24460711" w:rsidR="00C97620" w:rsidRDefault="00864D1B">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8979895" w:history="1">
            <w:r w:rsidR="00C97620" w:rsidRPr="00CB5B22">
              <w:rPr>
                <w:rStyle w:val="Hyperlink"/>
                <w:b/>
                <w:bCs/>
                <w:noProof/>
              </w:rPr>
              <w:t>1.</w:t>
            </w:r>
            <w:r w:rsidR="00C97620">
              <w:rPr>
                <w:rFonts w:eastAsiaTheme="minorEastAsia"/>
                <w:noProof/>
              </w:rPr>
              <w:tab/>
            </w:r>
            <w:r w:rsidR="00C97620" w:rsidRPr="00CB5B22">
              <w:rPr>
                <w:rStyle w:val="Hyperlink"/>
                <w:b/>
                <w:bCs/>
                <w:noProof/>
              </w:rPr>
              <w:t>Executive Summary</w:t>
            </w:r>
            <w:r w:rsidR="00C97620">
              <w:rPr>
                <w:noProof/>
                <w:webHidden/>
              </w:rPr>
              <w:tab/>
            </w:r>
            <w:r w:rsidR="00C97620">
              <w:rPr>
                <w:noProof/>
                <w:webHidden/>
              </w:rPr>
              <w:fldChar w:fldCharType="begin"/>
            </w:r>
            <w:r w:rsidR="00C97620">
              <w:rPr>
                <w:noProof/>
                <w:webHidden/>
              </w:rPr>
              <w:instrText xml:space="preserve"> PAGEREF _Toc238979895 \h </w:instrText>
            </w:r>
            <w:r w:rsidR="00C97620">
              <w:rPr>
                <w:noProof/>
                <w:webHidden/>
              </w:rPr>
            </w:r>
            <w:r w:rsidR="00C97620">
              <w:rPr>
                <w:noProof/>
                <w:webHidden/>
              </w:rPr>
              <w:fldChar w:fldCharType="separate"/>
            </w:r>
            <w:r w:rsidR="00EB4197">
              <w:rPr>
                <w:noProof/>
                <w:webHidden/>
              </w:rPr>
              <w:t>3</w:t>
            </w:r>
            <w:r w:rsidR="00C97620">
              <w:rPr>
                <w:noProof/>
                <w:webHidden/>
              </w:rPr>
              <w:fldChar w:fldCharType="end"/>
            </w:r>
          </w:hyperlink>
        </w:p>
        <w:p w14:paraId="38C7435D" w14:textId="76DA19CD" w:rsidR="00C97620" w:rsidRDefault="00C97620">
          <w:pPr>
            <w:pStyle w:val="TOC1"/>
            <w:tabs>
              <w:tab w:val="left" w:pos="480"/>
              <w:tab w:val="right" w:leader="dot" w:pos="9350"/>
            </w:tabs>
            <w:rPr>
              <w:rFonts w:eastAsiaTheme="minorEastAsia"/>
              <w:noProof/>
            </w:rPr>
          </w:pPr>
          <w:hyperlink w:anchor="_Toc238979896" w:history="1">
            <w:r w:rsidRPr="00CB5B22">
              <w:rPr>
                <w:rStyle w:val="Hyperlink"/>
                <w:b/>
                <w:bCs/>
                <w:noProof/>
              </w:rPr>
              <w:t>2.</w:t>
            </w:r>
            <w:r>
              <w:rPr>
                <w:rFonts w:eastAsiaTheme="minorEastAsia"/>
                <w:noProof/>
              </w:rPr>
              <w:tab/>
            </w:r>
            <w:r w:rsidRPr="00CB5B22">
              <w:rPr>
                <w:rStyle w:val="Hyperlink"/>
                <w:b/>
                <w:bCs/>
                <w:noProof/>
              </w:rPr>
              <w:t>Data Sources</w:t>
            </w:r>
            <w:r>
              <w:rPr>
                <w:noProof/>
                <w:webHidden/>
              </w:rPr>
              <w:tab/>
            </w:r>
            <w:r>
              <w:rPr>
                <w:noProof/>
                <w:webHidden/>
              </w:rPr>
              <w:fldChar w:fldCharType="begin"/>
            </w:r>
            <w:r>
              <w:rPr>
                <w:noProof/>
                <w:webHidden/>
              </w:rPr>
              <w:instrText xml:space="preserve"> PAGEREF _Toc238979896 \h </w:instrText>
            </w:r>
            <w:r>
              <w:rPr>
                <w:noProof/>
                <w:webHidden/>
              </w:rPr>
            </w:r>
            <w:r>
              <w:rPr>
                <w:noProof/>
                <w:webHidden/>
              </w:rPr>
              <w:fldChar w:fldCharType="separate"/>
            </w:r>
            <w:r w:rsidR="00EB4197">
              <w:rPr>
                <w:noProof/>
                <w:webHidden/>
              </w:rPr>
              <w:t>3</w:t>
            </w:r>
            <w:r>
              <w:rPr>
                <w:noProof/>
                <w:webHidden/>
              </w:rPr>
              <w:fldChar w:fldCharType="end"/>
            </w:r>
          </w:hyperlink>
        </w:p>
        <w:p w14:paraId="4F7018D5" w14:textId="727E8970" w:rsidR="00C97620" w:rsidRDefault="00C97620">
          <w:pPr>
            <w:pStyle w:val="TOC1"/>
            <w:tabs>
              <w:tab w:val="left" w:pos="480"/>
              <w:tab w:val="right" w:leader="dot" w:pos="9350"/>
            </w:tabs>
            <w:rPr>
              <w:rFonts w:eastAsiaTheme="minorEastAsia"/>
              <w:noProof/>
            </w:rPr>
          </w:pPr>
          <w:hyperlink w:anchor="_Toc238979897" w:history="1">
            <w:r w:rsidRPr="00CB5B22">
              <w:rPr>
                <w:rStyle w:val="Hyperlink"/>
                <w:b/>
                <w:bCs/>
                <w:noProof/>
              </w:rPr>
              <w:t>3.</w:t>
            </w:r>
            <w:r>
              <w:rPr>
                <w:rFonts w:eastAsiaTheme="minorEastAsia"/>
                <w:noProof/>
              </w:rPr>
              <w:tab/>
            </w:r>
            <w:r w:rsidRPr="00CB5B22">
              <w:rPr>
                <w:rStyle w:val="Hyperlink"/>
                <w:b/>
                <w:bCs/>
                <w:noProof/>
              </w:rPr>
              <w:t>ETL Design</w:t>
            </w:r>
            <w:r>
              <w:rPr>
                <w:noProof/>
                <w:webHidden/>
              </w:rPr>
              <w:tab/>
            </w:r>
            <w:r>
              <w:rPr>
                <w:noProof/>
                <w:webHidden/>
              </w:rPr>
              <w:fldChar w:fldCharType="begin"/>
            </w:r>
            <w:r>
              <w:rPr>
                <w:noProof/>
                <w:webHidden/>
              </w:rPr>
              <w:instrText xml:space="preserve"> PAGEREF _Toc238979897 \h </w:instrText>
            </w:r>
            <w:r>
              <w:rPr>
                <w:noProof/>
                <w:webHidden/>
              </w:rPr>
            </w:r>
            <w:r>
              <w:rPr>
                <w:noProof/>
                <w:webHidden/>
              </w:rPr>
              <w:fldChar w:fldCharType="separate"/>
            </w:r>
            <w:r w:rsidR="00EB4197">
              <w:rPr>
                <w:noProof/>
                <w:webHidden/>
              </w:rPr>
              <w:t>5</w:t>
            </w:r>
            <w:r>
              <w:rPr>
                <w:noProof/>
                <w:webHidden/>
              </w:rPr>
              <w:fldChar w:fldCharType="end"/>
            </w:r>
          </w:hyperlink>
        </w:p>
        <w:p w14:paraId="1A757940" w14:textId="682695E3" w:rsidR="00C97620" w:rsidRDefault="00C97620">
          <w:pPr>
            <w:pStyle w:val="TOC1"/>
            <w:tabs>
              <w:tab w:val="left" w:pos="480"/>
              <w:tab w:val="right" w:leader="dot" w:pos="9350"/>
            </w:tabs>
            <w:rPr>
              <w:rFonts w:eastAsiaTheme="minorEastAsia"/>
              <w:noProof/>
            </w:rPr>
          </w:pPr>
          <w:hyperlink w:anchor="_Toc238979898" w:history="1">
            <w:r w:rsidRPr="00CB5B22">
              <w:rPr>
                <w:rStyle w:val="Hyperlink"/>
                <w:b/>
                <w:bCs/>
                <w:noProof/>
              </w:rPr>
              <w:t>4.</w:t>
            </w:r>
            <w:r>
              <w:rPr>
                <w:rFonts w:eastAsiaTheme="minorEastAsia"/>
                <w:noProof/>
              </w:rPr>
              <w:tab/>
            </w:r>
            <w:r w:rsidRPr="00CB5B22">
              <w:rPr>
                <w:rStyle w:val="Hyperlink"/>
                <w:b/>
                <w:bCs/>
                <w:noProof/>
              </w:rPr>
              <w:t>EDA Findings</w:t>
            </w:r>
            <w:r>
              <w:rPr>
                <w:noProof/>
                <w:webHidden/>
              </w:rPr>
              <w:tab/>
            </w:r>
            <w:r>
              <w:rPr>
                <w:noProof/>
                <w:webHidden/>
              </w:rPr>
              <w:fldChar w:fldCharType="begin"/>
            </w:r>
            <w:r>
              <w:rPr>
                <w:noProof/>
                <w:webHidden/>
              </w:rPr>
              <w:instrText xml:space="preserve"> PAGEREF _Toc238979898 \h </w:instrText>
            </w:r>
            <w:r>
              <w:rPr>
                <w:noProof/>
                <w:webHidden/>
              </w:rPr>
            </w:r>
            <w:r>
              <w:rPr>
                <w:noProof/>
                <w:webHidden/>
              </w:rPr>
              <w:fldChar w:fldCharType="separate"/>
            </w:r>
            <w:r w:rsidR="00EB4197">
              <w:rPr>
                <w:noProof/>
                <w:webHidden/>
              </w:rPr>
              <w:t>6</w:t>
            </w:r>
            <w:r>
              <w:rPr>
                <w:noProof/>
                <w:webHidden/>
              </w:rPr>
              <w:fldChar w:fldCharType="end"/>
            </w:r>
          </w:hyperlink>
        </w:p>
        <w:p w14:paraId="27B945DF" w14:textId="5F2B1050" w:rsidR="00C97620" w:rsidRDefault="00C97620">
          <w:pPr>
            <w:pStyle w:val="TOC1"/>
            <w:tabs>
              <w:tab w:val="left" w:pos="480"/>
              <w:tab w:val="right" w:leader="dot" w:pos="9350"/>
            </w:tabs>
            <w:rPr>
              <w:rFonts w:eastAsiaTheme="minorEastAsia"/>
              <w:noProof/>
            </w:rPr>
          </w:pPr>
          <w:hyperlink w:anchor="_Toc238979899" w:history="1">
            <w:r w:rsidRPr="00CB5B22">
              <w:rPr>
                <w:rStyle w:val="Hyperlink"/>
                <w:b/>
                <w:bCs/>
                <w:noProof/>
              </w:rPr>
              <w:t>5.</w:t>
            </w:r>
            <w:r>
              <w:rPr>
                <w:rFonts w:eastAsiaTheme="minorEastAsia"/>
                <w:noProof/>
              </w:rPr>
              <w:tab/>
            </w:r>
            <w:r w:rsidRPr="00CB5B22">
              <w:rPr>
                <w:rStyle w:val="Hyperlink"/>
                <w:b/>
                <w:bCs/>
                <w:noProof/>
              </w:rPr>
              <w:t>Performance Analysis</w:t>
            </w:r>
            <w:r>
              <w:rPr>
                <w:noProof/>
                <w:webHidden/>
              </w:rPr>
              <w:tab/>
            </w:r>
            <w:r>
              <w:rPr>
                <w:noProof/>
                <w:webHidden/>
              </w:rPr>
              <w:fldChar w:fldCharType="begin"/>
            </w:r>
            <w:r>
              <w:rPr>
                <w:noProof/>
                <w:webHidden/>
              </w:rPr>
              <w:instrText xml:space="preserve"> PAGEREF _Toc238979899 \h </w:instrText>
            </w:r>
            <w:r>
              <w:rPr>
                <w:noProof/>
                <w:webHidden/>
              </w:rPr>
            </w:r>
            <w:r>
              <w:rPr>
                <w:noProof/>
                <w:webHidden/>
              </w:rPr>
              <w:fldChar w:fldCharType="separate"/>
            </w:r>
            <w:r w:rsidR="00EB4197">
              <w:rPr>
                <w:noProof/>
                <w:webHidden/>
              </w:rPr>
              <w:t>7</w:t>
            </w:r>
            <w:r>
              <w:rPr>
                <w:noProof/>
                <w:webHidden/>
              </w:rPr>
              <w:fldChar w:fldCharType="end"/>
            </w:r>
          </w:hyperlink>
        </w:p>
        <w:p w14:paraId="09BA49A4" w14:textId="1B334892" w:rsidR="00C97620" w:rsidRDefault="00C97620">
          <w:pPr>
            <w:pStyle w:val="TOC1"/>
            <w:tabs>
              <w:tab w:val="left" w:pos="480"/>
              <w:tab w:val="right" w:leader="dot" w:pos="9350"/>
            </w:tabs>
            <w:rPr>
              <w:rFonts w:eastAsiaTheme="minorEastAsia"/>
              <w:noProof/>
            </w:rPr>
          </w:pPr>
          <w:hyperlink w:anchor="_Toc238979900" w:history="1">
            <w:r w:rsidRPr="00CB5B22">
              <w:rPr>
                <w:rStyle w:val="Hyperlink"/>
                <w:b/>
                <w:bCs/>
                <w:noProof/>
              </w:rPr>
              <w:t>6.</w:t>
            </w:r>
            <w:r>
              <w:rPr>
                <w:rFonts w:eastAsiaTheme="minorEastAsia"/>
                <w:noProof/>
              </w:rPr>
              <w:tab/>
            </w:r>
            <w:r w:rsidRPr="00CB5B22">
              <w:rPr>
                <w:rStyle w:val="Hyperlink"/>
                <w:b/>
                <w:bCs/>
                <w:noProof/>
              </w:rPr>
              <w:t>Dashboard Screenshots</w:t>
            </w:r>
            <w:r>
              <w:rPr>
                <w:noProof/>
                <w:webHidden/>
              </w:rPr>
              <w:tab/>
            </w:r>
            <w:r>
              <w:rPr>
                <w:noProof/>
                <w:webHidden/>
              </w:rPr>
              <w:fldChar w:fldCharType="begin"/>
            </w:r>
            <w:r>
              <w:rPr>
                <w:noProof/>
                <w:webHidden/>
              </w:rPr>
              <w:instrText xml:space="preserve"> PAGEREF _Toc238979900 \h </w:instrText>
            </w:r>
            <w:r>
              <w:rPr>
                <w:noProof/>
                <w:webHidden/>
              </w:rPr>
            </w:r>
            <w:r>
              <w:rPr>
                <w:noProof/>
                <w:webHidden/>
              </w:rPr>
              <w:fldChar w:fldCharType="separate"/>
            </w:r>
            <w:r w:rsidR="00EB4197">
              <w:rPr>
                <w:noProof/>
                <w:webHidden/>
              </w:rPr>
              <w:t>8</w:t>
            </w:r>
            <w:r>
              <w:rPr>
                <w:noProof/>
                <w:webHidden/>
              </w:rPr>
              <w:fldChar w:fldCharType="end"/>
            </w:r>
          </w:hyperlink>
        </w:p>
        <w:p w14:paraId="4AA7D2F2" w14:textId="07C36940" w:rsidR="00C97620" w:rsidRDefault="00C97620">
          <w:pPr>
            <w:pStyle w:val="TOC1"/>
            <w:tabs>
              <w:tab w:val="left" w:pos="480"/>
              <w:tab w:val="right" w:leader="dot" w:pos="9350"/>
            </w:tabs>
            <w:rPr>
              <w:rFonts w:eastAsiaTheme="minorEastAsia"/>
              <w:noProof/>
            </w:rPr>
          </w:pPr>
          <w:hyperlink w:anchor="_Toc238979901" w:history="1">
            <w:r w:rsidRPr="00CB5B22">
              <w:rPr>
                <w:rStyle w:val="Hyperlink"/>
                <w:b/>
                <w:bCs/>
                <w:noProof/>
              </w:rPr>
              <w:t>7.</w:t>
            </w:r>
            <w:r>
              <w:rPr>
                <w:rFonts w:eastAsiaTheme="minorEastAsia"/>
                <w:noProof/>
              </w:rPr>
              <w:tab/>
            </w:r>
            <w:r w:rsidRPr="00CB5B22">
              <w:rPr>
                <w:rStyle w:val="Hyperlink"/>
                <w:b/>
                <w:bCs/>
                <w:noProof/>
              </w:rPr>
              <w:t>Limitations</w:t>
            </w:r>
            <w:r>
              <w:rPr>
                <w:noProof/>
                <w:webHidden/>
              </w:rPr>
              <w:tab/>
            </w:r>
            <w:r>
              <w:rPr>
                <w:noProof/>
                <w:webHidden/>
              </w:rPr>
              <w:fldChar w:fldCharType="begin"/>
            </w:r>
            <w:r>
              <w:rPr>
                <w:noProof/>
                <w:webHidden/>
              </w:rPr>
              <w:instrText xml:space="preserve"> PAGEREF _Toc238979901 \h </w:instrText>
            </w:r>
            <w:r>
              <w:rPr>
                <w:noProof/>
                <w:webHidden/>
              </w:rPr>
            </w:r>
            <w:r>
              <w:rPr>
                <w:noProof/>
                <w:webHidden/>
              </w:rPr>
              <w:fldChar w:fldCharType="separate"/>
            </w:r>
            <w:r w:rsidR="00EB4197">
              <w:rPr>
                <w:noProof/>
                <w:webHidden/>
              </w:rPr>
              <w:t>10</w:t>
            </w:r>
            <w:r>
              <w:rPr>
                <w:noProof/>
                <w:webHidden/>
              </w:rPr>
              <w:fldChar w:fldCharType="end"/>
            </w:r>
          </w:hyperlink>
        </w:p>
        <w:p w14:paraId="23547ADD" w14:textId="752A447F" w:rsidR="00C97620" w:rsidRDefault="00C97620">
          <w:pPr>
            <w:pStyle w:val="TOC1"/>
            <w:tabs>
              <w:tab w:val="left" w:pos="480"/>
              <w:tab w:val="right" w:leader="dot" w:pos="9350"/>
            </w:tabs>
            <w:rPr>
              <w:rFonts w:eastAsiaTheme="minorEastAsia"/>
              <w:noProof/>
            </w:rPr>
          </w:pPr>
          <w:hyperlink w:anchor="_Toc238979902" w:history="1">
            <w:r w:rsidRPr="00CB5B22">
              <w:rPr>
                <w:rStyle w:val="Hyperlink"/>
                <w:b/>
                <w:bCs/>
                <w:noProof/>
              </w:rPr>
              <w:t>8.</w:t>
            </w:r>
            <w:r>
              <w:rPr>
                <w:rFonts w:eastAsiaTheme="minorEastAsia"/>
                <w:noProof/>
              </w:rPr>
              <w:tab/>
            </w:r>
            <w:r w:rsidRPr="00CB5B22">
              <w:rPr>
                <w:rStyle w:val="Hyperlink"/>
                <w:b/>
                <w:bCs/>
                <w:noProof/>
              </w:rPr>
              <w:t>Recommendations</w:t>
            </w:r>
            <w:r>
              <w:rPr>
                <w:noProof/>
                <w:webHidden/>
              </w:rPr>
              <w:tab/>
            </w:r>
            <w:r>
              <w:rPr>
                <w:noProof/>
                <w:webHidden/>
              </w:rPr>
              <w:fldChar w:fldCharType="begin"/>
            </w:r>
            <w:r>
              <w:rPr>
                <w:noProof/>
                <w:webHidden/>
              </w:rPr>
              <w:instrText xml:space="preserve"> PAGEREF _Toc238979902 \h </w:instrText>
            </w:r>
            <w:r>
              <w:rPr>
                <w:noProof/>
                <w:webHidden/>
              </w:rPr>
            </w:r>
            <w:r>
              <w:rPr>
                <w:noProof/>
                <w:webHidden/>
              </w:rPr>
              <w:fldChar w:fldCharType="separate"/>
            </w:r>
            <w:r w:rsidR="00EB4197">
              <w:rPr>
                <w:noProof/>
                <w:webHidden/>
              </w:rPr>
              <w:t>11</w:t>
            </w:r>
            <w:r>
              <w:rPr>
                <w:noProof/>
                <w:webHidden/>
              </w:rPr>
              <w:fldChar w:fldCharType="end"/>
            </w:r>
          </w:hyperlink>
        </w:p>
        <w:p w14:paraId="5F96747D" w14:textId="7AFA27CE" w:rsidR="00864D1B" w:rsidRDefault="00864D1B">
          <w:r>
            <w:rPr>
              <w:b/>
              <w:bCs/>
              <w:noProof/>
            </w:rPr>
            <w:fldChar w:fldCharType="end"/>
          </w:r>
        </w:p>
      </w:sdtContent>
    </w:sdt>
    <w:p w14:paraId="4A495DBC" w14:textId="485BD183" w:rsidR="00137BE1" w:rsidRDefault="00137BE1">
      <w:pPr>
        <w:rPr>
          <w:b/>
          <w:bCs/>
          <w:sz w:val="32"/>
          <w:szCs w:val="32"/>
        </w:rPr>
      </w:pPr>
      <w:r>
        <w:rPr>
          <w:b/>
          <w:bCs/>
          <w:sz w:val="32"/>
          <w:szCs w:val="32"/>
        </w:rPr>
        <w:br w:type="page"/>
      </w:r>
    </w:p>
    <w:p w14:paraId="058172B3" w14:textId="468E05A2" w:rsidR="00137BE1" w:rsidRPr="00864D1B" w:rsidRDefault="00137BE1" w:rsidP="00864D1B">
      <w:pPr>
        <w:pStyle w:val="Heading1"/>
        <w:numPr>
          <w:ilvl w:val="0"/>
          <w:numId w:val="5"/>
        </w:numPr>
        <w:rPr>
          <w:b/>
          <w:bCs/>
        </w:rPr>
      </w:pPr>
      <w:bookmarkStart w:id="0" w:name="_Toc238979895"/>
      <w:r w:rsidRPr="00864D1B">
        <w:rPr>
          <w:b/>
          <w:bCs/>
        </w:rPr>
        <w:lastRenderedPageBreak/>
        <w:t>Executive Summary</w:t>
      </w:r>
      <w:bookmarkEnd w:id="0"/>
    </w:p>
    <w:p w14:paraId="15FBBCFA" w14:textId="77777777" w:rsidR="004F14FB" w:rsidRDefault="004F14FB" w:rsidP="004F14FB">
      <w:pPr>
        <w:pStyle w:val="ListParagraph"/>
      </w:pPr>
    </w:p>
    <w:p w14:paraId="08438368" w14:textId="77777777" w:rsidR="00137BE1" w:rsidRDefault="00137BE1" w:rsidP="00137BE1">
      <w:pPr>
        <w:pStyle w:val="ListParagraph"/>
      </w:pPr>
      <w:r>
        <w:t>This report presents the findings of a comprehensive mutual fund analytics capstone project covering a universe of 40 Indian mutual fund schemes across Equity and Debt categories. The project combined data engineering, statistical performance analysis, and business intelligence dashboarding to evaluate fund performance, investor behavior, and industry trends over the period 2022–2026.</w:t>
      </w:r>
    </w:p>
    <w:p w14:paraId="2114E92D" w14:textId="77777777" w:rsidR="00137BE1" w:rsidRDefault="00137BE1" w:rsidP="00137BE1">
      <w:pPr>
        <w:pStyle w:val="ListParagraph"/>
      </w:pPr>
    </w:p>
    <w:p w14:paraId="3A422642" w14:textId="77777777" w:rsidR="00137BE1" w:rsidRDefault="00137BE1" w:rsidP="00137BE1">
      <w:pPr>
        <w:pStyle w:val="ListParagraph"/>
      </w:pPr>
      <w:r>
        <w:t>Using four years of daily NAV history, industry AUM data, SIP inflow trends, and investor transaction records, this analysis computed risk-adjusted performance metrics (Sharpe Ratio, Sortino Ratio), benchmark-relative measures (Alpha, Beta), and drawdown statistics for all 40 schemes. A composite 0–100 Fund Scorecard was developed to rank funds across five weighted dimensions: 3-year returns, Sharpe Ratio, Alpha, expense ratio, and maximum drawdown.</w:t>
      </w:r>
    </w:p>
    <w:p w14:paraId="16C293B0" w14:textId="77777777" w:rsidR="00137BE1" w:rsidRDefault="00137BE1" w:rsidP="00137BE1">
      <w:pPr>
        <w:pStyle w:val="ListParagraph"/>
      </w:pPr>
    </w:p>
    <w:p w14:paraId="41A87505" w14:textId="77777777" w:rsidR="00137BE1" w:rsidRDefault="00137BE1" w:rsidP="00137BE1">
      <w:pPr>
        <w:pStyle w:val="ListParagraph"/>
      </w:pPr>
      <w:r>
        <w:t>The top-performing funds by composite score were UTI Mid Cap Fund, HDFC Top 100 Fund, and Axis Small Cap Fund. Industry-level findings showed total AUM of approximately ₹62.74 lakh crore, monthly SIP inflows of ₹31,002 crore, and 26.12 crore investor folios as of the most recent reporting period.</w:t>
      </w:r>
    </w:p>
    <w:p w14:paraId="769E0F7D" w14:textId="77777777" w:rsidR="00137BE1" w:rsidRDefault="00137BE1" w:rsidP="00137BE1">
      <w:pPr>
        <w:pStyle w:val="ListParagraph"/>
      </w:pPr>
    </w:p>
    <w:p w14:paraId="682D46D5" w14:textId="28C523F9" w:rsidR="00137BE1" w:rsidRDefault="00137BE1" w:rsidP="00137BE1">
      <w:pPr>
        <w:pStyle w:val="ListParagraph"/>
      </w:pPr>
      <w:r>
        <w:t>A four-page interactive Power BI dashboard was built to make these findings accessible to non-technical stakeholders, covering industry overview, fund performance comparison, investor analytics, and SIP/market trend visualizations.</w:t>
      </w:r>
    </w:p>
    <w:p w14:paraId="1748F846" w14:textId="77777777" w:rsidR="004F14FB" w:rsidRDefault="004F14FB" w:rsidP="00137BE1">
      <w:pPr>
        <w:pStyle w:val="ListParagraph"/>
      </w:pPr>
    </w:p>
    <w:p w14:paraId="526CCBD6" w14:textId="3175A797" w:rsidR="004F14FB" w:rsidRPr="00864D1B" w:rsidRDefault="004F14FB" w:rsidP="00864D1B">
      <w:pPr>
        <w:pStyle w:val="Heading1"/>
        <w:numPr>
          <w:ilvl w:val="0"/>
          <w:numId w:val="5"/>
        </w:numPr>
        <w:rPr>
          <w:b/>
          <w:bCs/>
        </w:rPr>
      </w:pPr>
      <w:bookmarkStart w:id="1" w:name="_Toc238979896"/>
      <w:r w:rsidRPr="00864D1B">
        <w:rPr>
          <w:b/>
          <w:bCs/>
        </w:rPr>
        <w:t>Data Sources</w:t>
      </w:r>
      <w:bookmarkEnd w:id="1"/>
    </w:p>
    <w:p w14:paraId="188D57B0" w14:textId="77777777" w:rsidR="00492434" w:rsidRDefault="00492434" w:rsidP="00492434">
      <w:pPr>
        <w:pStyle w:val="ListParagraph"/>
      </w:pPr>
    </w:p>
    <w:p w14:paraId="6E4C2C36" w14:textId="77777777" w:rsidR="004F14FB" w:rsidRDefault="004F14FB" w:rsidP="004F14FB">
      <w:pPr>
        <w:pStyle w:val="ListParagraph"/>
      </w:pPr>
      <w:r>
        <w:t>The analysis was built on ten structured datasets, each representing a distinct aspect of the mutual fund ecosystem:</w:t>
      </w:r>
    </w:p>
    <w:p w14:paraId="7B48F4DF" w14:textId="77777777" w:rsidR="004F14FB" w:rsidRDefault="004F14FB" w:rsidP="004F14FB">
      <w:pPr>
        <w:pStyle w:val="ListParagraph"/>
      </w:pPr>
    </w:p>
    <w:p w14:paraId="38E70686" w14:textId="77777777" w:rsidR="004F14FB" w:rsidRDefault="004F14FB" w:rsidP="004F14FB">
      <w:pPr>
        <w:pStyle w:val="ListParagraph"/>
      </w:pPr>
      <w:r>
        <w:t>1. Fund Master (01_fund_master.csv) — Scheme-level metadata for 40 funds including AMFI code, scheme name, category (Equity/Debt), sub-category, fund house, plan type, expense ratio, and benchmark index.</w:t>
      </w:r>
    </w:p>
    <w:p w14:paraId="11F211BB" w14:textId="77777777" w:rsidR="004F14FB" w:rsidRDefault="004F14FB" w:rsidP="004F14FB">
      <w:pPr>
        <w:pStyle w:val="ListParagraph"/>
      </w:pPr>
    </w:p>
    <w:p w14:paraId="0E9EFE9D" w14:textId="77777777" w:rsidR="004F14FB" w:rsidRDefault="004F14FB" w:rsidP="004F14FB">
      <w:pPr>
        <w:pStyle w:val="ListParagraph"/>
      </w:pPr>
      <w:r>
        <w:t>2. NAV History (02_nav_history.csv) — Daily Net Asset Value records for all 40 schemes from January 2022 to May 2026, totaling approximately 46,000 data points.</w:t>
      </w:r>
    </w:p>
    <w:p w14:paraId="049A920C" w14:textId="77777777" w:rsidR="004F14FB" w:rsidRDefault="004F14FB" w:rsidP="004F14FB">
      <w:pPr>
        <w:pStyle w:val="ListParagraph"/>
      </w:pPr>
    </w:p>
    <w:p w14:paraId="38E19500" w14:textId="77777777" w:rsidR="004F14FB" w:rsidRDefault="004F14FB" w:rsidP="004F14FB">
      <w:pPr>
        <w:pStyle w:val="ListParagraph"/>
      </w:pPr>
      <w:r>
        <w:t>3. AUM by Fund House (03_aum_by_fund_house.csv) — Quarterly Assets Under Management and scheme counts, broken down by AMC.</w:t>
      </w:r>
    </w:p>
    <w:p w14:paraId="411DF525" w14:textId="77777777" w:rsidR="004F14FB" w:rsidRDefault="004F14FB" w:rsidP="004F14FB">
      <w:pPr>
        <w:pStyle w:val="ListParagraph"/>
      </w:pPr>
    </w:p>
    <w:p w14:paraId="3552659B" w14:textId="77777777" w:rsidR="004F14FB" w:rsidRDefault="004F14FB" w:rsidP="004F14FB">
      <w:pPr>
        <w:pStyle w:val="ListParagraph"/>
      </w:pPr>
      <w:r>
        <w:t>4. Monthly SIP Inflows (04_monthly_sip_inflows.csv) — Industry-wide SIP inflow figures, SIP AUM, and year-over-year growth rates.</w:t>
      </w:r>
    </w:p>
    <w:p w14:paraId="3510CAFE" w14:textId="77777777" w:rsidR="004F14FB" w:rsidRDefault="004F14FB" w:rsidP="004F14FB">
      <w:pPr>
        <w:pStyle w:val="ListParagraph"/>
      </w:pPr>
    </w:p>
    <w:p w14:paraId="60484A63" w14:textId="77777777" w:rsidR="004F14FB" w:rsidRDefault="004F14FB" w:rsidP="004F14FB">
      <w:pPr>
        <w:pStyle w:val="ListParagraph"/>
      </w:pPr>
      <w:r>
        <w:t>5. Category Inflows (05_category_inflows.csv) — Monthly net inflows by fund category (Large Cap, Mid Cap, Small Cap, Flexi Cap, ELSS, Debt categories, etc.) for FY24-FY25.</w:t>
      </w:r>
    </w:p>
    <w:p w14:paraId="505AA92E" w14:textId="77777777" w:rsidR="004F14FB" w:rsidRDefault="004F14FB" w:rsidP="004F14FB">
      <w:pPr>
        <w:pStyle w:val="ListParagraph"/>
      </w:pPr>
    </w:p>
    <w:p w14:paraId="41193529" w14:textId="77777777" w:rsidR="004F14FB" w:rsidRDefault="004F14FB" w:rsidP="004F14FB">
      <w:pPr>
        <w:pStyle w:val="ListParagraph"/>
      </w:pPr>
      <w:r>
        <w:t>6. Industry Folio Count (06_industry_folio_count.csv) — Monthly investor folio counts, segmented by equity, debt, hybrid, and other categories.</w:t>
      </w:r>
    </w:p>
    <w:p w14:paraId="7F192B80" w14:textId="77777777" w:rsidR="004F14FB" w:rsidRDefault="004F14FB" w:rsidP="004F14FB">
      <w:pPr>
        <w:pStyle w:val="ListParagraph"/>
      </w:pPr>
    </w:p>
    <w:p w14:paraId="03A6C3E4" w14:textId="77777777" w:rsidR="004F14FB" w:rsidRDefault="004F14FB" w:rsidP="004F14FB">
      <w:pPr>
        <w:pStyle w:val="ListParagraph"/>
      </w:pPr>
      <w:r>
        <w:t xml:space="preserve">7. Scheme Performance (07_scheme_performance.csv) — </w:t>
      </w:r>
      <w:proofErr w:type="gramStart"/>
      <w:r>
        <w:t>Pre-computed</w:t>
      </w:r>
      <w:proofErr w:type="gramEnd"/>
      <w:r>
        <w:t xml:space="preserve"> return, risk, Sharpe Ratio, and rating metrics per scheme.</w:t>
      </w:r>
    </w:p>
    <w:p w14:paraId="2FB5B501" w14:textId="77777777" w:rsidR="004F14FB" w:rsidRDefault="004F14FB" w:rsidP="004F14FB">
      <w:pPr>
        <w:pStyle w:val="ListParagraph"/>
      </w:pPr>
    </w:p>
    <w:p w14:paraId="68EDC386" w14:textId="77777777" w:rsidR="004F14FB" w:rsidRDefault="004F14FB" w:rsidP="004F14FB">
      <w:pPr>
        <w:pStyle w:val="ListParagraph"/>
      </w:pPr>
      <w:r>
        <w:t>8. Investor Transactions (08_investor_transactions.csv) — 32,778 individual transaction records including SIP, Lumpsum, and Redemption types, with investor demographics (state, city tier, age group, income).</w:t>
      </w:r>
    </w:p>
    <w:p w14:paraId="0472D58F" w14:textId="77777777" w:rsidR="004F14FB" w:rsidRDefault="004F14FB" w:rsidP="004F14FB">
      <w:pPr>
        <w:pStyle w:val="ListParagraph"/>
      </w:pPr>
    </w:p>
    <w:p w14:paraId="44777550" w14:textId="77777777" w:rsidR="004F14FB" w:rsidRDefault="004F14FB" w:rsidP="004F14FB">
      <w:pPr>
        <w:pStyle w:val="ListParagraph"/>
      </w:pPr>
      <w:r>
        <w:t>9. Portfolio Holdings (09_portfolio_holdings.csv) — Fund portfolio composition snapshots.</w:t>
      </w:r>
    </w:p>
    <w:p w14:paraId="35DC57E7" w14:textId="77777777" w:rsidR="004F14FB" w:rsidRDefault="004F14FB" w:rsidP="004F14FB">
      <w:pPr>
        <w:pStyle w:val="ListParagraph"/>
      </w:pPr>
    </w:p>
    <w:p w14:paraId="61250A97" w14:textId="77777777" w:rsidR="004F14FB" w:rsidRDefault="004F14FB" w:rsidP="004F14FB">
      <w:pPr>
        <w:pStyle w:val="ListParagraph"/>
      </w:pPr>
      <w:r>
        <w:t xml:space="preserve">10. Benchmark Indices (10_benchmark_indices.csv) — Daily closing values for seven market indices: Nifty 50, Nifty 100, Nifty Midcap 150, BSE </w:t>
      </w:r>
      <w:proofErr w:type="spellStart"/>
      <w:r>
        <w:t>Smallcap</w:t>
      </w:r>
      <w:proofErr w:type="spellEnd"/>
      <w:r>
        <w:t>, Nifty 500, CRISIL Liquid, and CRISIL Gilt.</w:t>
      </w:r>
    </w:p>
    <w:p w14:paraId="65141C3E" w14:textId="77777777" w:rsidR="004F14FB" w:rsidRDefault="004F14FB" w:rsidP="004F14FB">
      <w:pPr>
        <w:pStyle w:val="ListParagraph"/>
      </w:pPr>
    </w:p>
    <w:p w14:paraId="24EE58CD" w14:textId="4F8C6B1C" w:rsidR="004F14FB" w:rsidRDefault="004F14FB" w:rsidP="004F14FB">
      <w:pPr>
        <w:pStyle w:val="ListParagraph"/>
      </w:pPr>
      <w:r>
        <w:t>All data was provided in CSV format and represents a synthetic but realistic simulation of Indian mutual fund industry data, following AMFI conventions for scheme naming, NAV reporting, and categorization.</w:t>
      </w:r>
    </w:p>
    <w:p w14:paraId="06EC9D8B" w14:textId="77777777" w:rsidR="00492434" w:rsidRDefault="00492434" w:rsidP="004F14FB">
      <w:pPr>
        <w:pStyle w:val="ListParagraph"/>
      </w:pPr>
    </w:p>
    <w:p w14:paraId="0A044DB5" w14:textId="77777777" w:rsidR="00864D1B" w:rsidRDefault="00864D1B" w:rsidP="004F14FB">
      <w:pPr>
        <w:pStyle w:val="ListParagraph"/>
      </w:pPr>
    </w:p>
    <w:p w14:paraId="27EDFE52" w14:textId="77777777" w:rsidR="00864D1B" w:rsidRDefault="00864D1B" w:rsidP="004F14FB">
      <w:pPr>
        <w:pStyle w:val="ListParagraph"/>
      </w:pPr>
    </w:p>
    <w:p w14:paraId="5B0E89F6" w14:textId="77777777" w:rsidR="00864D1B" w:rsidRDefault="00864D1B" w:rsidP="004F14FB">
      <w:pPr>
        <w:pStyle w:val="ListParagraph"/>
      </w:pPr>
    </w:p>
    <w:p w14:paraId="24B58B3A" w14:textId="77777777" w:rsidR="00864D1B" w:rsidRDefault="00864D1B" w:rsidP="004F14FB">
      <w:pPr>
        <w:pStyle w:val="ListParagraph"/>
      </w:pPr>
    </w:p>
    <w:p w14:paraId="31E40019" w14:textId="4EE65CC7" w:rsidR="00492434" w:rsidRPr="00864D1B" w:rsidRDefault="00492434" w:rsidP="00864D1B">
      <w:pPr>
        <w:pStyle w:val="Heading1"/>
        <w:numPr>
          <w:ilvl w:val="0"/>
          <w:numId w:val="5"/>
        </w:numPr>
        <w:rPr>
          <w:b/>
          <w:bCs/>
        </w:rPr>
      </w:pPr>
      <w:bookmarkStart w:id="2" w:name="_Toc238979897"/>
      <w:r w:rsidRPr="00864D1B">
        <w:rPr>
          <w:b/>
          <w:bCs/>
        </w:rPr>
        <w:lastRenderedPageBreak/>
        <w:t>ETL Design</w:t>
      </w:r>
      <w:bookmarkEnd w:id="2"/>
    </w:p>
    <w:p w14:paraId="21A4EB5F" w14:textId="77777777" w:rsidR="00492434" w:rsidRDefault="00492434" w:rsidP="00492434">
      <w:pPr>
        <w:pStyle w:val="ListParagraph"/>
      </w:pPr>
    </w:p>
    <w:p w14:paraId="69FF9495" w14:textId="77777777" w:rsidR="00492434" w:rsidRDefault="00492434" w:rsidP="00492434">
      <w:pPr>
        <w:pStyle w:val="ListParagraph"/>
      </w:pPr>
      <w:r>
        <w:t>The data pipeline followed a structured Extract-Transform-Load approach:</w:t>
      </w:r>
    </w:p>
    <w:p w14:paraId="0CF4006F" w14:textId="77777777" w:rsidR="00492434" w:rsidRDefault="00492434" w:rsidP="00492434">
      <w:pPr>
        <w:pStyle w:val="ListParagraph"/>
      </w:pPr>
    </w:p>
    <w:p w14:paraId="07C14FCF" w14:textId="77777777" w:rsidR="00492434" w:rsidRDefault="00492434" w:rsidP="00492434">
      <w:pPr>
        <w:pStyle w:val="ListParagraph"/>
      </w:pPr>
      <w:r>
        <w:t>Extract: Raw CSV files were ingested representing fund master data, live and historical NAV feeds, transactional records, and market benchmarks. A separate live NAV fetch script pulled real-time data from the mfapi.in public API for six sample schemes as a proof-of-concept for live data integration.</w:t>
      </w:r>
    </w:p>
    <w:p w14:paraId="1E1F757E" w14:textId="77777777" w:rsidR="00492434" w:rsidRDefault="00492434" w:rsidP="00492434">
      <w:pPr>
        <w:pStyle w:val="ListParagraph"/>
      </w:pPr>
    </w:p>
    <w:p w14:paraId="37EB2C94" w14:textId="77777777" w:rsidR="00492434" w:rsidRDefault="00492434" w:rsidP="00492434">
      <w:pPr>
        <w:pStyle w:val="ListParagraph"/>
      </w:pPr>
      <w:r>
        <w:t>Transform: Data cleaning steps included forward-filling missing NAV values on non-trading days, validating date ranges for consistency across tables, flagging single-day return anomalies exceeding 20% (a data-quality safeguard), and converting text-based month fields into proper date types to support time-intelligence calculations.</w:t>
      </w:r>
    </w:p>
    <w:p w14:paraId="541A0062" w14:textId="77777777" w:rsidR="00492434" w:rsidRDefault="00492434" w:rsidP="00492434">
      <w:pPr>
        <w:pStyle w:val="ListParagraph"/>
      </w:pPr>
    </w:p>
    <w:p w14:paraId="048D888C" w14:textId="77777777" w:rsidR="00492434" w:rsidRDefault="00492434" w:rsidP="00492434">
      <w:pPr>
        <w:pStyle w:val="ListParagraph"/>
      </w:pPr>
      <w:r>
        <w:t>Load: Cleaned data was loaded into two parallel destinations:</w:t>
      </w:r>
    </w:p>
    <w:p w14:paraId="44BC0746" w14:textId="77777777" w:rsidR="00492434" w:rsidRDefault="00492434" w:rsidP="00492434">
      <w:pPr>
        <w:pStyle w:val="ListParagraph"/>
      </w:pPr>
      <w:r>
        <w:t xml:space="preserve">(a) </w:t>
      </w:r>
      <w:proofErr w:type="gramStart"/>
      <w:r>
        <w:t>A</w:t>
      </w:r>
      <w:proofErr w:type="gramEnd"/>
      <w:r>
        <w:t xml:space="preserve"> SQLite star-schema database with fact tables (</w:t>
      </w:r>
      <w:proofErr w:type="spellStart"/>
      <w:r>
        <w:t>fact_nav</w:t>
      </w:r>
      <w:proofErr w:type="spellEnd"/>
      <w:r>
        <w:t xml:space="preserve">, </w:t>
      </w:r>
      <w:proofErr w:type="spellStart"/>
      <w:r>
        <w:t>fact_transactions</w:t>
      </w:r>
      <w:proofErr w:type="spellEnd"/>
      <w:r>
        <w:t xml:space="preserve">, </w:t>
      </w:r>
      <w:proofErr w:type="spellStart"/>
      <w:r>
        <w:t>fact_performance</w:t>
      </w:r>
      <w:proofErr w:type="spellEnd"/>
      <w:r>
        <w:t xml:space="preserve">, </w:t>
      </w:r>
      <w:proofErr w:type="spellStart"/>
      <w:r>
        <w:t>fact_aum</w:t>
      </w:r>
      <w:proofErr w:type="spellEnd"/>
      <w:r>
        <w:t>) and dimension tables (</w:t>
      </w:r>
      <w:proofErr w:type="spellStart"/>
      <w:r>
        <w:t>dim_fund</w:t>
      </w:r>
      <w:proofErr w:type="spellEnd"/>
      <w:r>
        <w:t xml:space="preserve">, </w:t>
      </w:r>
      <w:proofErr w:type="spellStart"/>
      <w:r>
        <w:t>dim_date</w:t>
      </w:r>
      <w:proofErr w:type="spellEnd"/>
      <w:r>
        <w:t>), enabling efficient SQL-based analytical queries.</w:t>
      </w:r>
    </w:p>
    <w:p w14:paraId="7C6FECE8" w14:textId="77777777" w:rsidR="00492434" w:rsidRDefault="00492434" w:rsidP="00492434">
      <w:pPr>
        <w:pStyle w:val="ListParagraph"/>
      </w:pPr>
      <w:r>
        <w:t xml:space="preserve">(b) A Power BI data model with a central Date dimension table (built via DAX CALENDAR function) connected to all date-based fact tables, and a shared </w:t>
      </w:r>
      <w:proofErr w:type="spellStart"/>
      <w:r>
        <w:t>amfi_code</w:t>
      </w:r>
      <w:proofErr w:type="spellEnd"/>
      <w:r>
        <w:t xml:space="preserve"> key linking fund-level tables (NAV history, scheme performance, transactions, portfolio holdings) back to the fund master dimension.</w:t>
      </w:r>
    </w:p>
    <w:p w14:paraId="6CE0705F" w14:textId="77777777" w:rsidR="00492434" w:rsidRDefault="00492434" w:rsidP="00492434">
      <w:pPr>
        <w:pStyle w:val="ListParagraph"/>
      </w:pPr>
    </w:p>
    <w:p w14:paraId="67FA881C" w14:textId="7943E285" w:rsidR="00492434" w:rsidRDefault="00492434" w:rsidP="00492434">
      <w:pPr>
        <w:pStyle w:val="ListParagraph"/>
      </w:pPr>
      <w:r>
        <w:t>This two-destination approach allowed SQL-based ad-hoc analysis (ten analytical queries covering window functions, IQR-based anomaly detection, and net flow analysis) alongside interactive Power BI dashboarding for business-facing consumption.</w:t>
      </w:r>
    </w:p>
    <w:p w14:paraId="2AC40854" w14:textId="77777777" w:rsidR="00864D1B" w:rsidRDefault="00864D1B" w:rsidP="00492434">
      <w:pPr>
        <w:pStyle w:val="ListParagraph"/>
      </w:pPr>
    </w:p>
    <w:p w14:paraId="7B5AFFD0" w14:textId="77777777" w:rsidR="00864D1B" w:rsidRDefault="00864D1B" w:rsidP="00492434">
      <w:pPr>
        <w:pStyle w:val="ListParagraph"/>
      </w:pPr>
    </w:p>
    <w:p w14:paraId="4EF74D6F" w14:textId="77777777" w:rsidR="00864D1B" w:rsidRDefault="00864D1B" w:rsidP="00492434">
      <w:pPr>
        <w:pStyle w:val="ListParagraph"/>
      </w:pPr>
    </w:p>
    <w:p w14:paraId="5DB10CDB" w14:textId="77777777" w:rsidR="00864D1B" w:rsidRDefault="00864D1B" w:rsidP="00492434">
      <w:pPr>
        <w:pStyle w:val="ListParagraph"/>
      </w:pPr>
    </w:p>
    <w:p w14:paraId="0099BE93" w14:textId="77777777" w:rsidR="00864D1B" w:rsidRDefault="00864D1B" w:rsidP="00492434">
      <w:pPr>
        <w:pStyle w:val="ListParagraph"/>
      </w:pPr>
    </w:p>
    <w:p w14:paraId="5CA32F8B" w14:textId="77777777" w:rsidR="00864D1B" w:rsidRDefault="00864D1B" w:rsidP="00492434">
      <w:pPr>
        <w:pStyle w:val="ListParagraph"/>
      </w:pPr>
    </w:p>
    <w:p w14:paraId="419BACBC" w14:textId="77777777" w:rsidR="00864D1B" w:rsidRDefault="00864D1B" w:rsidP="00492434">
      <w:pPr>
        <w:pStyle w:val="ListParagraph"/>
      </w:pPr>
    </w:p>
    <w:p w14:paraId="4C10225F" w14:textId="4D63CFC4" w:rsidR="00492434" w:rsidRDefault="00492434" w:rsidP="00492434">
      <w:pPr>
        <w:pStyle w:val="ListParagraph"/>
      </w:pPr>
    </w:p>
    <w:p w14:paraId="2198B8D8" w14:textId="2EB7E145" w:rsidR="00492434" w:rsidRPr="00864D1B" w:rsidRDefault="00492434" w:rsidP="00864D1B">
      <w:pPr>
        <w:pStyle w:val="Heading1"/>
        <w:numPr>
          <w:ilvl w:val="0"/>
          <w:numId w:val="5"/>
        </w:numPr>
        <w:rPr>
          <w:b/>
          <w:bCs/>
        </w:rPr>
      </w:pPr>
      <w:bookmarkStart w:id="3" w:name="_Toc238979898"/>
      <w:r w:rsidRPr="00864D1B">
        <w:rPr>
          <w:b/>
          <w:bCs/>
        </w:rPr>
        <w:lastRenderedPageBreak/>
        <w:t>EDA Findings</w:t>
      </w:r>
      <w:bookmarkEnd w:id="3"/>
    </w:p>
    <w:p w14:paraId="01477DF5" w14:textId="77777777" w:rsidR="00A94C04" w:rsidRDefault="00A94C04" w:rsidP="00A94C04">
      <w:pPr>
        <w:pStyle w:val="ListParagraph"/>
        <w:rPr>
          <w:b/>
          <w:bCs/>
        </w:rPr>
      </w:pPr>
    </w:p>
    <w:p w14:paraId="2F35BF1C" w14:textId="77777777" w:rsidR="00A94C04" w:rsidRDefault="00A94C04" w:rsidP="00A94C04">
      <w:pPr>
        <w:pStyle w:val="ListParagraph"/>
      </w:pPr>
      <w:r>
        <w:t>Fund Universe Composition: The 40-scheme universe skews heavily toward equity (34 schemes, 85%) versus debt (6 schemes, 15%). Within equity, Large Cap is the dominant sub-category (14 schemes), followed by Mid Cap (7) and Small Cap (6). Expense ratios across the universe range from 0.55% to 1.64%, consistent with typical Indian direct/regular plan structures.</w:t>
      </w:r>
    </w:p>
    <w:p w14:paraId="3BF1662C" w14:textId="77777777" w:rsidR="00A94C04" w:rsidRDefault="00A94C04" w:rsidP="00A94C04">
      <w:pPr>
        <w:pStyle w:val="ListParagraph"/>
      </w:pPr>
    </w:p>
    <w:p w14:paraId="36E96706" w14:textId="77777777" w:rsidR="00A94C04" w:rsidRDefault="00A94C04" w:rsidP="00A94C04">
      <w:pPr>
        <w:pStyle w:val="ListParagraph"/>
      </w:pPr>
      <w:r>
        <w:t>Daily Return Distribution: Pooled daily returns across all 40 schemes were examined for data quality. No single-day moves exceeding 20% were detected, indicating a clean dataset free of stock-split-style anomalies or NAV recording errors. The distribution was approximately centered near zero with the expected fat-tailed shape typical of financial return series.</w:t>
      </w:r>
    </w:p>
    <w:p w14:paraId="33221E22" w14:textId="77777777" w:rsidR="00A94C04" w:rsidRDefault="00A94C04" w:rsidP="00A94C04">
      <w:pPr>
        <w:pStyle w:val="ListParagraph"/>
      </w:pPr>
    </w:p>
    <w:p w14:paraId="3EEAC6BC" w14:textId="77777777" w:rsidR="00A94C04" w:rsidRDefault="00A94C04" w:rsidP="00A94C04">
      <w:pPr>
        <w:pStyle w:val="ListParagraph"/>
      </w:pPr>
      <w:r>
        <w:t>Industry Trends: Industry-wide AUM data (2022–2025) shows a generally upward trajectory, consistent with the broader growth narrative of Indian mutual funds during this period. SIP inflows reached ₹31,002 crore in the most recent month, reflecting continued retail participation via systematic investing. Total investor folios stood at 26.12 crore, split across equity (largest share), debt, hybrid, and other categories.</w:t>
      </w:r>
    </w:p>
    <w:p w14:paraId="4FD6DF9B" w14:textId="77777777" w:rsidR="00A94C04" w:rsidRDefault="00A94C04" w:rsidP="00A94C04">
      <w:pPr>
        <w:pStyle w:val="ListParagraph"/>
      </w:pPr>
    </w:p>
    <w:p w14:paraId="014D17D3" w14:textId="77777777" w:rsidR="00A94C04" w:rsidRDefault="00A94C04" w:rsidP="00A94C04">
      <w:pPr>
        <w:pStyle w:val="ListParagraph"/>
      </w:pPr>
      <w:r>
        <w:t>Category Inflow Patterns: Examining FY24–FY25 category-level net inflows revealed that certain categories (typically Flexi Cap, Mid Cap, and Small Cap in the broader Indian market context) tend to attract disproportionately higher net flows relative to their scheme counts, suggesting continued retail preference for higher-growth-potential categories during this period.</w:t>
      </w:r>
    </w:p>
    <w:p w14:paraId="0597BD51" w14:textId="77777777" w:rsidR="00A94C04" w:rsidRDefault="00A94C04" w:rsidP="00A94C04">
      <w:pPr>
        <w:pStyle w:val="ListParagraph"/>
      </w:pPr>
    </w:p>
    <w:p w14:paraId="692D50D9" w14:textId="294680BB" w:rsidR="00A94C04" w:rsidRDefault="00A94C04" w:rsidP="00A94C04">
      <w:pPr>
        <w:pStyle w:val="ListParagraph"/>
      </w:pPr>
      <w:r>
        <w:t>Investor Demographics: Transaction records (32,778 total) spanning 12 states, 5 age groups, and 2 city tiers (T30/B30) allowed segmentation of investment behavior. SIP transactions formed a distinct behavioral pattern compared to Lumpsum and Redemption activity, with variation in average ticket size observed across age groups.</w:t>
      </w:r>
    </w:p>
    <w:p w14:paraId="2C06397B" w14:textId="77777777" w:rsidR="00864D1B" w:rsidRDefault="00864D1B" w:rsidP="00A94C04">
      <w:pPr>
        <w:pStyle w:val="ListParagraph"/>
      </w:pPr>
    </w:p>
    <w:p w14:paraId="00CF298D" w14:textId="77777777" w:rsidR="00864D1B" w:rsidRDefault="00864D1B" w:rsidP="00A94C04">
      <w:pPr>
        <w:pStyle w:val="ListParagraph"/>
      </w:pPr>
    </w:p>
    <w:p w14:paraId="2909405B" w14:textId="77777777" w:rsidR="00864D1B" w:rsidRDefault="00864D1B" w:rsidP="00A94C04">
      <w:pPr>
        <w:pStyle w:val="ListParagraph"/>
      </w:pPr>
    </w:p>
    <w:p w14:paraId="2A5157FD" w14:textId="77777777" w:rsidR="00864D1B" w:rsidRDefault="00864D1B" w:rsidP="00A94C04">
      <w:pPr>
        <w:pStyle w:val="ListParagraph"/>
      </w:pPr>
    </w:p>
    <w:p w14:paraId="33A23492" w14:textId="77777777" w:rsidR="00864D1B" w:rsidRDefault="00864D1B" w:rsidP="00A94C04">
      <w:pPr>
        <w:pStyle w:val="ListParagraph"/>
      </w:pPr>
    </w:p>
    <w:p w14:paraId="4373AAFB" w14:textId="77777777" w:rsidR="00864D1B" w:rsidRDefault="00864D1B" w:rsidP="00A94C04">
      <w:pPr>
        <w:pStyle w:val="ListParagraph"/>
      </w:pPr>
    </w:p>
    <w:p w14:paraId="79B51F2E" w14:textId="77777777" w:rsidR="00A94C04" w:rsidRDefault="00A94C04" w:rsidP="00A94C04"/>
    <w:p w14:paraId="0032A4E6" w14:textId="1603D24C" w:rsidR="00A94C04" w:rsidRPr="00864D1B" w:rsidRDefault="00A94C04" w:rsidP="00864D1B">
      <w:pPr>
        <w:pStyle w:val="Heading1"/>
        <w:numPr>
          <w:ilvl w:val="0"/>
          <w:numId w:val="5"/>
        </w:numPr>
        <w:rPr>
          <w:b/>
          <w:bCs/>
        </w:rPr>
      </w:pPr>
      <w:bookmarkStart w:id="4" w:name="_Toc238979899"/>
      <w:r w:rsidRPr="00864D1B">
        <w:rPr>
          <w:b/>
          <w:bCs/>
        </w:rPr>
        <w:t>Performance Analysis</w:t>
      </w:r>
      <w:bookmarkEnd w:id="4"/>
    </w:p>
    <w:p w14:paraId="5DBEB751" w14:textId="77777777" w:rsidR="00A94C04" w:rsidRDefault="00A94C04" w:rsidP="00A94C04">
      <w:pPr>
        <w:pStyle w:val="ListParagraph"/>
        <w:rPr>
          <w:b/>
          <w:bCs/>
        </w:rPr>
      </w:pPr>
    </w:p>
    <w:p w14:paraId="6A75910C" w14:textId="77777777" w:rsidR="00A94C04" w:rsidRDefault="00A94C04" w:rsidP="00A94C04">
      <w:pPr>
        <w:pStyle w:val="ListParagraph"/>
      </w:pPr>
      <w:r>
        <w:t>Composite Fund Scorecard: The weighted 0–100 scorecard (30% 3yr return, 25% Sharpe, 20% Alpha, 15% expense ratio, 10% max drawdown) ranked UTI Mid Cap Fund (88.19), HDFC Top 100 Fund (88.13), and Axis Small Cap Fund (85.25) as the top three schemes overall. Notably, several top-ranked funds carried negative or modest raw 3-year returns, reflecting the composite methodology's emphasis on risk-adjusted quality (Sharpe, Alpha, cost efficiency) rather than raw return alone.</w:t>
      </w:r>
    </w:p>
    <w:p w14:paraId="3B4A6FBF" w14:textId="77777777" w:rsidR="00A94C04" w:rsidRDefault="00A94C04" w:rsidP="00A94C04">
      <w:pPr>
        <w:pStyle w:val="ListParagraph"/>
      </w:pPr>
    </w:p>
    <w:p w14:paraId="31ADCBED" w14:textId="77777777" w:rsidR="00A94C04" w:rsidRDefault="00A94C04" w:rsidP="00A94C04">
      <w:pPr>
        <w:pStyle w:val="ListParagraph"/>
      </w:pPr>
      <w:r>
        <w:t xml:space="preserve">Sharpe Ratio Rankings: Mirae Asset Large Cap Fund led on risk-adjusted return (Sharpe 1.45), followed by Kotak </w:t>
      </w:r>
      <w:proofErr w:type="spellStart"/>
      <w:r>
        <w:t>Flexicap</w:t>
      </w:r>
      <w:proofErr w:type="spellEnd"/>
      <w:r>
        <w:t xml:space="preserve"> Fund (1.31) and Mirae Asset Tax Saver Fund (1.23), indicating these funds delivered the most favorable return-per-unit-of-volatility over the analysis window.</w:t>
      </w:r>
    </w:p>
    <w:p w14:paraId="73751F42" w14:textId="77777777" w:rsidR="00A94C04" w:rsidRDefault="00A94C04" w:rsidP="00A94C04">
      <w:pPr>
        <w:pStyle w:val="ListParagraph"/>
      </w:pPr>
    </w:p>
    <w:p w14:paraId="6F3D10D9" w14:textId="77777777" w:rsidR="00A94C04" w:rsidRDefault="00A94C04" w:rsidP="00A94C04">
      <w:pPr>
        <w:pStyle w:val="ListParagraph"/>
      </w:pPr>
      <w:r>
        <w:t>Alpha and Beta vs Nifty 100: SBI Small Cap Fund (30.3% annualized alpha), DSP Small Cap Fund (30.1%), and ICICI Pru Midcap Fund (29.3%) showed the strongest outperformance relative to the Nifty 100 benchmark. However, R-squared values across nearly all 40 funds were very low (well under 0.01 in most cases), indicating minimal statistical correlation between fund returns and the Nifty 100 benchmark in this dataset — a finding that warrants further validation against the source data, as real-world equity funds typically show much higher benchmark correlation (R-squared often 0.7+).</w:t>
      </w:r>
    </w:p>
    <w:p w14:paraId="14BC4800" w14:textId="77777777" w:rsidR="00A94C04" w:rsidRDefault="00A94C04" w:rsidP="00A94C04">
      <w:pPr>
        <w:pStyle w:val="ListParagraph"/>
      </w:pPr>
    </w:p>
    <w:p w14:paraId="1622E286" w14:textId="77777777" w:rsidR="00A94C04" w:rsidRDefault="00A94C04" w:rsidP="00A94C04">
      <w:pPr>
        <w:pStyle w:val="ListParagraph"/>
      </w:pPr>
      <w:r>
        <w:t>Maximum Drawdown: SBI Small Cap Fund (Direct Plan) recorded the deepest drawdown at -52.6%, with a prolonged decline from January 2023 to October 2025. Axis Small Cap Fund and ABSL Small Cap Fund followed with drawdowns of -51.7% and -35.4% respectively. Small Cap category funds were disproportionately represented among the worst drawdowns, consistent with their higher-volatility risk profile.</w:t>
      </w:r>
    </w:p>
    <w:p w14:paraId="5358DCD6" w14:textId="77777777" w:rsidR="00A94C04" w:rsidRDefault="00A94C04" w:rsidP="00A94C04">
      <w:pPr>
        <w:pStyle w:val="ListParagraph"/>
      </w:pPr>
    </w:p>
    <w:p w14:paraId="3284A76C" w14:textId="546FE01E" w:rsidR="00F96FC6" w:rsidRDefault="00A94C04" w:rsidP="00C97620">
      <w:pPr>
        <w:pStyle w:val="ListParagraph"/>
      </w:pPr>
      <w:r>
        <w:t xml:space="preserve">Tracking Error: Among the top 5 scorecard funds, tracking error against Nifty 100 ranged from 18.6% (Axis </w:t>
      </w:r>
      <w:proofErr w:type="spellStart"/>
      <w:r>
        <w:t>Bluechip</w:t>
      </w:r>
      <w:proofErr w:type="spellEnd"/>
      <w:r>
        <w:t xml:space="preserve"> Fund) to 29.3% (ABSL Small Cap Fund) on an annualized basis — relatively high figures that, combined with the low R-squared findings above, suggest these funds' return patterns diverge substantially from broad-market index movements in this dataset.</w:t>
      </w:r>
    </w:p>
    <w:p w14:paraId="629D013D" w14:textId="7614BB70" w:rsidR="00F96FC6" w:rsidRPr="00864D1B" w:rsidRDefault="00F96FC6" w:rsidP="00864D1B">
      <w:pPr>
        <w:pStyle w:val="Heading1"/>
        <w:numPr>
          <w:ilvl w:val="0"/>
          <w:numId w:val="5"/>
        </w:numPr>
        <w:rPr>
          <w:b/>
          <w:bCs/>
        </w:rPr>
      </w:pPr>
      <w:bookmarkStart w:id="5" w:name="_Toc238979900"/>
      <w:r w:rsidRPr="00864D1B">
        <w:rPr>
          <w:b/>
          <w:bCs/>
        </w:rPr>
        <w:lastRenderedPageBreak/>
        <w:t>Dashboard Screenshots</w:t>
      </w:r>
      <w:bookmarkEnd w:id="5"/>
    </w:p>
    <w:p w14:paraId="6A541428" w14:textId="77777777" w:rsidR="00F96FC6" w:rsidRDefault="00F96FC6" w:rsidP="00F96FC6">
      <w:pPr>
        <w:pStyle w:val="ListParagraph"/>
        <w:rPr>
          <w:b/>
          <w:bCs/>
        </w:rPr>
      </w:pPr>
    </w:p>
    <w:p w14:paraId="3A633C4F" w14:textId="7D6F604B" w:rsidR="00F96FC6" w:rsidRPr="00F96FC6" w:rsidRDefault="00F96FC6" w:rsidP="00F96FC6">
      <w:pPr>
        <w:pStyle w:val="ListParagraph"/>
        <w:rPr>
          <w:b/>
          <w:bCs/>
        </w:rPr>
      </w:pPr>
      <w:r>
        <w:rPr>
          <w:b/>
          <w:bCs/>
          <w:noProof/>
        </w:rPr>
        <w:drawing>
          <wp:inline distT="0" distB="0" distL="0" distR="0" wp14:anchorId="34CE077F" wp14:editId="0F350713">
            <wp:extent cx="5943600" cy="4099560"/>
            <wp:effectExtent l="0" t="0" r="0" b="0"/>
            <wp:docPr id="59562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29715" name="Picture 595629715"/>
                    <pic:cNvPicPr/>
                  </pic:nvPicPr>
                  <pic:blipFill>
                    <a:blip r:embed="rId6">
                      <a:extLst>
                        <a:ext uri="{28A0092B-C50C-407E-A947-70E740481C1C}">
                          <a14:useLocalDpi xmlns:a14="http://schemas.microsoft.com/office/drawing/2010/main" val="0"/>
                        </a:ext>
                      </a:extLst>
                    </a:blip>
                    <a:stretch>
                      <a:fillRect/>
                    </a:stretch>
                  </pic:blipFill>
                  <pic:spPr>
                    <a:xfrm>
                      <a:off x="0" y="0"/>
                      <a:ext cx="5943600" cy="4099560"/>
                    </a:xfrm>
                    <a:prstGeom prst="rect">
                      <a:avLst/>
                    </a:prstGeom>
                  </pic:spPr>
                </pic:pic>
              </a:graphicData>
            </a:graphic>
          </wp:inline>
        </w:drawing>
      </w:r>
    </w:p>
    <w:p w14:paraId="42AD63B7" w14:textId="77777777" w:rsidR="00F96FC6" w:rsidRPr="00F96FC6" w:rsidRDefault="00F96FC6" w:rsidP="00F96FC6">
      <w:pPr>
        <w:pStyle w:val="ListParagraph"/>
        <w:rPr>
          <w:sz w:val="20"/>
          <w:szCs w:val="20"/>
        </w:rPr>
      </w:pPr>
    </w:p>
    <w:p w14:paraId="4F020AB7" w14:textId="702E3F1B" w:rsidR="00A94C04" w:rsidRPr="00F96FC6" w:rsidRDefault="00F96FC6" w:rsidP="00F96FC6">
      <w:pPr>
        <w:jc w:val="center"/>
        <w:rPr>
          <w:rFonts w:ascii="Italic" w:hAnsi="Italic"/>
          <w:sz w:val="20"/>
          <w:szCs w:val="20"/>
        </w:rPr>
      </w:pPr>
      <w:r w:rsidRPr="00F96FC6">
        <w:rPr>
          <w:rFonts w:ascii="Italic" w:hAnsi="Italic"/>
          <w:sz w:val="20"/>
          <w:szCs w:val="20"/>
        </w:rPr>
        <w:t>Figure 1: Industry Overview Dashboard</w:t>
      </w:r>
    </w:p>
    <w:p w14:paraId="2D8389C2" w14:textId="79C296B3" w:rsidR="00F96FC6" w:rsidRDefault="00F96FC6">
      <w:r>
        <w:br w:type="page"/>
      </w:r>
    </w:p>
    <w:p w14:paraId="391C47A4" w14:textId="3062BA16" w:rsidR="00F96FC6" w:rsidRDefault="00900B65" w:rsidP="00900B65">
      <w:pPr>
        <w:jc w:val="center"/>
      </w:pPr>
      <w:r>
        <w:rPr>
          <w:noProof/>
        </w:rPr>
        <w:lastRenderedPageBreak/>
        <w:drawing>
          <wp:inline distT="0" distB="0" distL="0" distR="0" wp14:anchorId="5689A0AD" wp14:editId="23EE6C1C">
            <wp:extent cx="5943600" cy="3280410"/>
            <wp:effectExtent l="0" t="0" r="0" b="0"/>
            <wp:docPr id="1501886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86618" name="Picture 1501886618"/>
                    <pic:cNvPicPr/>
                  </pic:nvPicPr>
                  <pic:blipFill>
                    <a:blip r:embed="rId7">
                      <a:extLst>
                        <a:ext uri="{28A0092B-C50C-407E-A947-70E740481C1C}">
                          <a14:useLocalDpi xmlns:a14="http://schemas.microsoft.com/office/drawing/2010/main" val="0"/>
                        </a:ext>
                      </a:extLst>
                    </a:blip>
                    <a:stretch>
                      <a:fillRect/>
                    </a:stretch>
                  </pic:blipFill>
                  <pic:spPr>
                    <a:xfrm>
                      <a:off x="0" y="0"/>
                      <a:ext cx="5943600" cy="3280410"/>
                    </a:xfrm>
                    <a:prstGeom prst="rect">
                      <a:avLst/>
                    </a:prstGeom>
                  </pic:spPr>
                </pic:pic>
              </a:graphicData>
            </a:graphic>
          </wp:inline>
        </w:drawing>
      </w:r>
    </w:p>
    <w:p w14:paraId="4232CF1B" w14:textId="70C98A17" w:rsidR="00900B65" w:rsidRDefault="00900B65" w:rsidP="00900B65">
      <w:pPr>
        <w:jc w:val="center"/>
        <w:rPr>
          <w:rFonts w:ascii="Italic" w:hAnsi="Italic"/>
          <w:sz w:val="20"/>
          <w:szCs w:val="20"/>
        </w:rPr>
      </w:pPr>
      <w:r w:rsidRPr="00900B65">
        <w:rPr>
          <w:rFonts w:ascii="Italic" w:hAnsi="Italic"/>
          <w:sz w:val="20"/>
          <w:szCs w:val="20"/>
        </w:rPr>
        <w:t>Figure 2</w:t>
      </w:r>
      <w:r>
        <w:rPr>
          <w:rFonts w:ascii="Italic" w:hAnsi="Italic"/>
          <w:sz w:val="20"/>
          <w:szCs w:val="20"/>
        </w:rPr>
        <w:t xml:space="preserve">: </w:t>
      </w:r>
      <w:r w:rsidRPr="00900B65">
        <w:rPr>
          <w:rFonts w:ascii="Italic" w:hAnsi="Italic"/>
          <w:sz w:val="20"/>
          <w:szCs w:val="20"/>
        </w:rPr>
        <w:t>Page2_FundPerformance.png</w:t>
      </w:r>
    </w:p>
    <w:p w14:paraId="2B1074EB" w14:textId="77777777" w:rsidR="00900B65" w:rsidRDefault="00900B65" w:rsidP="00900B65">
      <w:pPr>
        <w:jc w:val="center"/>
        <w:rPr>
          <w:rFonts w:ascii="Italic" w:hAnsi="Italic"/>
          <w:sz w:val="20"/>
          <w:szCs w:val="20"/>
        </w:rPr>
      </w:pPr>
    </w:p>
    <w:p w14:paraId="1F163080" w14:textId="4BDD6BEC" w:rsidR="00900B65" w:rsidRDefault="00900B65" w:rsidP="00900B65">
      <w:pPr>
        <w:jc w:val="center"/>
        <w:rPr>
          <w:rFonts w:ascii="Italic" w:hAnsi="Italic"/>
          <w:sz w:val="20"/>
          <w:szCs w:val="20"/>
        </w:rPr>
      </w:pPr>
      <w:r>
        <w:rPr>
          <w:rFonts w:ascii="Italic" w:hAnsi="Italic"/>
          <w:noProof/>
          <w:sz w:val="20"/>
          <w:szCs w:val="20"/>
        </w:rPr>
        <w:drawing>
          <wp:inline distT="0" distB="0" distL="0" distR="0" wp14:anchorId="08821813" wp14:editId="6379C887">
            <wp:extent cx="5943600" cy="3418205"/>
            <wp:effectExtent l="0" t="0" r="0" b="0"/>
            <wp:docPr id="1821606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6652" name="Picture 1821606652"/>
                    <pic:cNvPicPr/>
                  </pic:nvPicPr>
                  <pic:blipFill>
                    <a:blip r:embed="rId8">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14:paraId="1CB88186" w14:textId="3A21CAE6" w:rsidR="00900B65" w:rsidRDefault="00900B65" w:rsidP="00900B65">
      <w:pPr>
        <w:jc w:val="center"/>
        <w:rPr>
          <w:rFonts w:ascii="Italic" w:hAnsi="Italic"/>
          <w:sz w:val="20"/>
          <w:szCs w:val="20"/>
        </w:rPr>
      </w:pPr>
      <w:r w:rsidRPr="00900B65">
        <w:rPr>
          <w:rFonts w:ascii="Italic" w:hAnsi="Italic"/>
          <w:sz w:val="20"/>
          <w:szCs w:val="20"/>
        </w:rPr>
        <w:t xml:space="preserve">Figure </w:t>
      </w:r>
      <w:r>
        <w:rPr>
          <w:rFonts w:ascii="Italic" w:hAnsi="Italic"/>
          <w:sz w:val="20"/>
          <w:szCs w:val="20"/>
        </w:rPr>
        <w:t xml:space="preserve">3: </w:t>
      </w:r>
      <w:r w:rsidRPr="00900B65">
        <w:rPr>
          <w:rFonts w:ascii="Italic" w:hAnsi="Italic"/>
          <w:sz w:val="20"/>
          <w:szCs w:val="20"/>
        </w:rPr>
        <w:t>Page3_InvestorAnalytics.png</w:t>
      </w:r>
    </w:p>
    <w:p w14:paraId="3A8C823D" w14:textId="77777777" w:rsidR="00900B65" w:rsidRDefault="00900B65">
      <w:pPr>
        <w:rPr>
          <w:rFonts w:ascii="Italic" w:hAnsi="Italic"/>
          <w:sz w:val="20"/>
          <w:szCs w:val="20"/>
        </w:rPr>
      </w:pPr>
      <w:r>
        <w:rPr>
          <w:rFonts w:ascii="Italic" w:hAnsi="Italic"/>
          <w:sz w:val="20"/>
          <w:szCs w:val="20"/>
        </w:rPr>
        <w:br w:type="page"/>
      </w:r>
    </w:p>
    <w:p w14:paraId="75B26EB9" w14:textId="69043E6B" w:rsidR="00900B65" w:rsidRDefault="00900B65" w:rsidP="00900B65">
      <w:pPr>
        <w:jc w:val="center"/>
        <w:rPr>
          <w:rFonts w:ascii="Italic" w:hAnsi="Italic"/>
          <w:sz w:val="20"/>
          <w:szCs w:val="20"/>
        </w:rPr>
      </w:pPr>
      <w:r>
        <w:rPr>
          <w:rFonts w:ascii="Italic" w:hAnsi="Italic"/>
          <w:noProof/>
          <w:sz w:val="20"/>
          <w:szCs w:val="20"/>
        </w:rPr>
        <w:lastRenderedPageBreak/>
        <w:drawing>
          <wp:inline distT="0" distB="0" distL="0" distR="0" wp14:anchorId="62DB815C" wp14:editId="562C93CA">
            <wp:extent cx="6149340" cy="4480560"/>
            <wp:effectExtent l="0" t="0" r="3810" b="0"/>
            <wp:docPr id="403665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65952" name="Picture 403665952"/>
                    <pic:cNvPicPr/>
                  </pic:nvPicPr>
                  <pic:blipFill>
                    <a:blip r:embed="rId9">
                      <a:extLst>
                        <a:ext uri="{28A0092B-C50C-407E-A947-70E740481C1C}">
                          <a14:useLocalDpi xmlns:a14="http://schemas.microsoft.com/office/drawing/2010/main" val="0"/>
                        </a:ext>
                      </a:extLst>
                    </a:blip>
                    <a:stretch>
                      <a:fillRect/>
                    </a:stretch>
                  </pic:blipFill>
                  <pic:spPr>
                    <a:xfrm>
                      <a:off x="0" y="0"/>
                      <a:ext cx="6149340" cy="4480560"/>
                    </a:xfrm>
                    <a:prstGeom prst="rect">
                      <a:avLst/>
                    </a:prstGeom>
                  </pic:spPr>
                </pic:pic>
              </a:graphicData>
            </a:graphic>
          </wp:inline>
        </w:drawing>
      </w:r>
    </w:p>
    <w:p w14:paraId="708189B7" w14:textId="3DDD6070" w:rsidR="00900B65" w:rsidRDefault="00900B65" w:rsidP="00900B65">
      <w:pPr>
        <w:jc w:val="center"/>
        <w:rPr>
          <w:rFonts w:ascii="Italic" w:hAnsi="Italic"/>
          <w:sz w:val="20"/>
          <w:szCs w:val="20"/>
        </w:rPr>
      </w:pPr>
      <w:r w:rsidRPr="00900B65">
        <w:rPr>
          <w:rFonts w:ascii="Italic" w:hAnsi="Italic"/>
          <w:sz w:val="20"/>
          <w:szCs w:val="20"/>
        </w:rPr>
        <w:t xml:space="preserve">Figure </w:t>
      </w:r>
      <w:r>
        <w:rPr>
          <w:rFonts w:ascii="Italic" w:hAnsi="Italic"/>
          <w:sz w:val="20"/>
          <w:szCs w:val="20"/>
        </w:rPr>
        <w:t xml:space="preserve">4: </w:t>
      </w:r>
      <w:r w:rsidRPr="00900B65">
        <w:rPr>
          <w:rFonts w:ascii="Italic" w:hAnsi="Italic"/>
          <w:sz w:val="20"/>
          <w:szCs w:val="20"/>
        </w:rPr>
        <w:t>Page4_SIPMarketTrends.png</w:t>
      </w:r>
    </w:p>
    <w:p w14:paraId="107A71F2" w14:textId="5AA93221" w:rsidR="00900B65" w:rsidRPr="00900B65" w:rsidRDefault="00900B65" w:rsidP="00864D1B">
      <w:pPr>
        <w:pStyle w:val="Heading1"/>
        <w:numPr>
          <w:ilvl w:val="0"/>
          <w:numId w:val="5"/>
        </w:numPr>
      </w:pPr>
      <w:bookmarkStart w:id="6" w:name="_Toc238979901"/>
      <w:r w:rsidRPr="00864D1B">
        <w:rPr>
          <w:b/>
          <w:bCs/>
        </w:rPr>
        <w:t>Limitations</w:t>
      </w:r>
      <w:bookmarkEnd w:id="6"/>
    </w:p>
    <w:p w14:paraId="738946E4" w14:textId="178D02AC" w:rsidR="00900B65" w:rsidRPr="00900B65" w:rsidRDefault="00900B65" w:rsidP="00900B65">
      <w:r>
        <w:rPr>
          <w:b/>
          <w:bCs/>
        </w:rPr>
        <w:t xml:space="preserve">      </w:t>
      </w:r>
      <w:r w:rsidRPr="00900B65">
        <w:t>Several limitations should be considered when interpreting this analysis:</w:t>
      </w:r>
    </w:p>
    <w:p w14:paraId="747183E6" w14:textId="77777777" w:rsidR="00900B65" w:rsidRPr="00900B65" w:rsidRDefault="00900B65" w:rsidP="00900B65">
      <w:r w:rsidRPr="00900B65">
        <w:t>Data Nature: The dataset used for this project, while structurally realistic and AMFI-consistent, is synthetic. Absolute figures (returns, AUM, alpha/beta values) should be treated as illustrative of methodology rather than as live market intelligence.</w:t>
      </w:r>
    </w:p>
    <w:p w14:paraId="41DDFE20" w14:textId="77777777" w:rsidR="00900B65" w:rsidRPr="00900B65" w:rsidRDefault="00900B65" w:rsidP="00900B65"/>
    <w:p w14:paraId="7C6AD6EE" w14:textId="77777777" w:rsidR="00900B65" w:rsidRPr="00900B65" w:rsidRDefault="00900B65" w:rsidP="00900B65">
      <w:r w:rsidRPr="00900B65">
        <w:t>Low Benchmark Correlation: As noted in Section 5, R-squared values between fund returns and the Nifty 100 benchmark were unusually low across nearly all 40 schemes, including large-cap equity funds that would typically show strong benchmark tracking. This suggests either a data generation characteristic of the synthetic dataset or a data alignment issue that would benefit from further investigation before drawing real-world conclusions from alpha/beta figures.</w:t>
      </w:r>
    </w:p>
    <w:p w14:paraId="29C46957" w14:textId="77777777" w:rsidR="00900B65" w:rsidRPr="00900B65" w:rsidRDefault="00900B65" w:rsidP="00900B65"/>
    <w:p w14:paraId="6F09F243" w14:textId="77777777" w:rsidR="00900B65" w:rsidRPr="00900B65" w:rsidRDefault="00900B65" w:rsidP="00900B65">
      <w:r w:rsidRPr="00900B65">
        <w:lastRenderedPageBreak/>
        <w:t>Static Risk-Free Rate: The Sharpe and Sortino Ratio calculations used a fixed 6.5% annual risk-free rate (RBI repo rate proxy) for the entire analysis period. In reality, the repo rate fluctuated during 2022–2026, and a time-varying risk-free rate would produce more precise risk-adjusted metrics.</w:t>
      </w:r>
    </w:p>
    <w:p w14:paraId="6B9FF55D" w14:textId="77777777" w:rsidR="00900B65" w:rsidRPr="00900B65" w:rsidRDefault="00900B65" w:rsidP="00900B65"/>
    <w:p w14:paraId="7294E8E4" w14:textId="77777777" w:rsidR="00900B65" w:rsidRPr="00900B65" w:rsidRDefault="00900B65" w:rsidP="00900B65">
      <w:r w:rsidRPr="00900B65">
        <w:t>Survivorship and Scheme Coverage: The 40-scheme universe, while diverse across categories, represents a small subset of the 1,500+ schemes in the actual Indian mutual fund industry (per the AUM-by-fund-house data). Findings should not be generalized to the full industry.</w:t>
      </w:r>
    </w:p>
    <w:p w14:paraId="55B779A0" w14:textId="77777777" w:rsidR="00900B65" w:rsidRPr="00900B65" w:rsidRDefault="00900B65" w:rsidP="00900B65"/>
    <w:p w14:paraId="6E549E7B" w14:textId="3CBC0029" w:rsidR="002C0CBE" w:rsidRDefault="00900B65" w:rsidP="00864D1B">
      <w:r w:rsidRPr="00900B65">
        <w:t>Category Imbalance: The universe skews heavily toward equity (85%) versus debt (15%) funds, which may bias aggregate findings toward equity-market dynamics.</w:t>
      </w:r>
    </w:p>
    <w:p w14:paraId="1894165A" w14:textId="34F668EB" w:rsidR="002C0CBE" w:rsidRDefault="002C0CBE" w:rsidP="00864D1B">
      <w:pPr>
        <w:pStyle w:val="Heading1"/>
        <w:numPr>
          <w:ilvl w:val="0"/>
          <w:numId w:val="5"/>
        </w:numPr>
        <w:rPr>
          <w:b/>
          <w:bCs/>
        </w:rPr>
      </w:pPr>
      <w:bookmarkStart w:id="7" w:name="_Toc238979902"/>
      <w:r w:rsidRPr="002C0CBE">
        <w:rPr>
          <w:b/>
          <w:bCs/>
        </w:rPr>
        <w:t>Recommendations</w:t>
      </w:r>
      <w:bookmarkEnd w:id="7"/>
    </w:p>
    <w:p w14:paraId="49144A1F" w14:textId="77777777" w:rsidR="002C0CBE" w:rsidRPr="002C0CBE" w:rsidRDefault="002C0CBE" w:rsidP="002C0CBE">
      <w:r>
        <w:rPr>
          <w:b/>
          <w:bCs/>
        </w:rPr>
        <w:tab/>
      </w:r>
      <w:r w:rsidRPr="002C0CBE">
        <w:t>Based on the findings of this analysis, the following recommendations are proposed:</w:t>
      </w:r>
    </w:p>
    <w:p w14:paraId="2A6C6719" w14:textId="77777777" w:rsidR="002C0CBE" w:rsidRPr="002C0CBE" w:rsidRDefault="002C0CBE" w:rsidP="002C0CBE"/>
    <w:p w14:paraId="1BBBE9C6" w14:textId="77777777" w:rsidR="002C0CBE" w:rsidRPr="002C0CBE" w:rsidRDefault="002C0CBE" w:rsidP="002C0CBE">
      <w:r w:rsidRPr="002C0CBE">
        <w:t>1. Validate Benchmark Data Alignment: Before using the alpha/beta figures for any investment decision-making, investigate the low R-squared values found across the fund universe — check for date misalignment, incorrect benchmark mapping per fund, or data generation artifacts in the source NAV/benchmark series.</w:t>
      </w:r>
    </w:p>
    <w:p w14:paraId="1304138B" w14:textId="77777777" w:rsidR="002C0CBE" w:rsidRPr="002C0CBE" w:rsidRDefault="002C0CBE" w:rsidP="002C0CBE"/>
    <w:p w14:paraId="1E6E8155" w14:textId="77777777" w:rsidR="002C0CBE" w:rsidRPr="002C0CBE" w:rsidRDefault="002C0CBE" w:rsidP="002C0CBE">
      <w:r w:rsidRPr="002C0CBE">
        <w:t>2. Incorporate Time-Varying Risk-Free Rate: Future iterations of this analysis should pull historical RBI repo rate data month-by-month rather than using a single static rate, improving the precision of Sharpe and Sortino calculations.</w:t>
      </w:r>
    </w:p>
    <w:p w14:paraId="10645872" w14:textId="77777777" w:rsidR="002C0CBE" w:rsidRPr="002C0CBE" w:rsidRDefault="002C0CBE" w:rsidP="002C0CBE"/>
    <w:p w14:paraId="74A1DA96" w14:textId="77777777" w:rsidR="002C0CBE" w:rsidRPr="002C0CBE" w:rsidRDefault="002C0CBE" w:rsidP="002C0CBE">
      <w:r w:rsidRPr="002C0CBE">
        <w:t>3. Expand the Fund Universe: Extending analysis to a larger, more representative sample of schemes (or the full industry dataset) would improve the generalizability of category-level and demographic findings.</w:t>
      </w:r>
    </w:p>
    <w:p w14:paraId="004BB025" w14:textId="77777777" w:rsidR="002C0CBE" w:rsidRPr="002C0CBE" w:rsidRDefault="002C0CBE" w:rsidP="002C0CBE"/>
    <w:p w14:paraId="72B13476" w14:textId="77777777" w:rsidR="002C0CBE" w:rsidRPr="002C0CBE" w:rsidRDefault="002C0CBE" w:rsidP="002C0CBE">
      <w:r w:rsidRPr="002C0CBE">
        <w:t>4. Automate Data Refresh: Given the live NAV fetch capability already built in Day 1 of this project (via the mfapi.in API), a scheduled refresh pipeline could keep the SQLite database and Power BI dashboard current without manual re-import.</w:t>
      </w:r>
    </w:p>
    <w:p w14:paraId="1336757A" w14:textId="77777777" w:rsidR="002C0CBE" w:rsidRPr="002C0CBE" w:rsidRDefault="002C0CBE" w:rsidP="002C0CBE"/>
    <w:p w14:paraId="2B458CAF" w14:textId="77777777" w:rsidR="002C0CBE" w:rsidRPr="002C0CBE" w:rsidRDefault="002C0CBE" w:rsidP="002C0CBE">
      <w:r w:rsidRPr="002C0CBE">
        <w:t>5. Add Debt-Fund-Specific Benchmarking: Since 6 of the 40 schemes are Debt category funds, future work should benchmark them against CRISIL Gilt or CRISIL Liquid indices (already present in the dataset) rather than Nifty 100, for a more meaningful alpha/beta comparison.</w:t>
      </w:r>
    </w:p>
    <w:p w14:paraId="2632D45E" w14:textId="77777777" w:rsidR="002C0CBE" w:rsidRPr="002C0CBE" w:rsidRDefault="002C0CBE" w:rsidP="002C0CBE"/>
    <w:p w14:paraId="2882798A" w14:textId="0709D5DF" w:rsidR="002C0CBE" w:rsidRPr="002C0CBE" w:rsidRDefault="002C0CBE" w:rsidP="002C0CBE">
      <w:r w:rsidRPr="002C0CBE">
        <w:t>6. Publish and Share the Dashboard: Publishing the Power BI dashboard to Power BI Service (free tier) would allow stakeholders to access live, interactive views without needing Power BI Desktop installed locally.</w:t>
      </w:r>
    </w:p>
    <w:p w14:paraId="6E42DFD0" w14:textId="16911D9C" w:rsidR="00234C32" w:rsidRDefault="002C0CBE" w:rsidP="002C0CBE">
      <w:pPr>
        <w:rPr>
          <w:b/>
          <w:bCs/>
        </w:rPr>
      </w:pPr>
      <w:r>
        <w:rPr>
          <w:b/>
          <w:bCs/>
        </w:rPr>
        <w:t xml:space="preserve">       </w:t>
      </w:r>
    </w:p>
    <w:p w14:paraId="509DFF8B" w14:textId="55B8FE1D" w:rsidR="00234C32" w:rsidRDefault="00234C32" w:rsidP="00234C32">
      <w:pPr>
        <w:pStyle w:val="Heading1"/>
      </w:pPr>
      <w:r w:rsidRPr="00234C32">
        <w:t>Appendix A: Methodology &amp; Formulas</w:t>
      </w:r>
    </w:p>
    <w:p w14:paraId="59FDA0C5" w14:textId="77777777" w:rsidR="00234C32" w:rsidRDefault="00234C32" w:rsidP="00234C32"/>
    <w:p w14:paraId="436EA70C" w14:textId="77777777" w:rsidR="00234C32" w:rsidRDefault="00234C32" w:rsidP="00234C32">
      <w:r>
        <w:t xml:space="preserve">Daily Return: </w:t>
      </w:r>
      <w:proofErr w:type="spellStart"/>
      <w:r>
        <w:t>daily_return</w:t>
      </w:r>
      <w:proofErr w:type="spellEnd"/>
      <w:r>
        <w:t xml:space="preserve"> = (</w:t>
      </w:r>
      <w:proofErr w:type="spellStart"/>
      <w:r>
        <w:t>NAV_t</w:t>
      </w:r>
      <w:proofErr w:type="spellEnd"/>
      <w:r>
        <w:t xml:space="preserve"> / NAV_t-1) − 1</w:t>
      </w:r>
    </w:p>
    <w:p w14:paraId="070B5852" w14:textId="77777777" w:rsidR="00234C32" w:rsidRDefault="00234C32" w:rsidP="00234C32"/>
    <w:p w14:paraId="5947F6E9" w14:textId="77777777" w:rsidR="00234C32" w:rsidRDefault="00234C32" w:rsidP="00234C32">
      <w:r>
        <w:t>CAGR: CAGR = (</w:t>
      </w:r>
      <w:proofErr w:type="spellStart"/>
      <w:r>
        <w:t>NAV_end</w:t>
      </w:r>
      <w:proofErr w:type="spellEnd"/>
      <w:r>
        <w:t xml:space="preserve"> / </w:t>
      </w:r>
      <w:proofErr w:type="spellStart"/>
      <w:r>
        <w:t>NAV_</w:t>
      </w:r>
      <w:proofErr w:type="gramStart"/>
      <w:r>
        <w:t>start</w:t>
      </w:r>
      <w:proofErr w:type="spellEnd"/>
      <w:r>
        <w:t>)^</w:t>
      </w:r>
      <w:proofErr w:type="gramEnd"/>
      <w:r>
        <w:t>(1/n) − 1, where n is the holding period in years, calculated using the actual calendar-day span between the start and end dates.</w:t>
      </w:r>
    </w:p>
    <w:p w14:paraId="38D84088" w14:textId="77777777" w:rsidR="00234C32" w:rsidRDefault="00234C32" w:rsidP="00234C32"/>
    <w:p w14:paraId="5B306CDC" w14:textId="77777777" w:rsidR="00234C32" w:rsidRDefault="00234C32" w:rsidP="00234C32">
      <w:r>
        <w:t>Sharpe Ratio: Sharpe = (Rp − Rf) / σ(Rp) × √252, where Rp is the mean daily return, Rf is the daily risk-free rate (6.5% annual, RBI repo rate proxy), σ(Rp) is the standard deviation of daily returns, and √252 annualizes the ratio based on trading days per year.</w:t>
      </w:r>
    </w:p>
    <w:p w14:paraId="6BCD0A63" w14:textId="77777777" w:rsidR="00234C32" w:rsidRDefault="00234C32" w:rsidP="00234C32"/>
    <w:p w14:paraId="34146955" w14:textId="77777777" w:rsidR="00234C32" w:rsidRDefault="00234C32" w:rsidP="00234C32">
      <w:r>
        <w:t>Sortino Ratio: Same formula as Sharpe, but the denominator uses only the standard deviation of negative-return days (downside deviation), penalizing only harmful volatility rather than all volatility.</w:t>
      </w:r>
    </w:p>
    <w:p w14:paraId="0E19B4FA" w14:textId="77777777" w:rsidR="00234C32" w:rsidRDefault="00234C32" w:rsidP="00234C32"/>
    <w:p w14:paraId="0B409F29" w14:textId="77777777" w:rsidR="00234C32" w:rsidRDefault="00234C32" w:rsidP="00234C32">
      <w:r>
        <w:t xml:space="preserve">Alpha and Beta: Estimated via Ordinary Least Squares (OLS) linear regression of each fund's daily returns against the Nifty 100 benchmark's daily returns, using </w:t>
      </w:r>
      <w:proofErr w:type="spellStart"/>
      <w:proofErr w:type="gramStart"/>
      <w:r>
        <w:t>scipy.stats</w:t>
      </w:r>
      <w:proofErr w:type="gramEnd"/>
      <w:r>
        <w:t>.linregress</w:t>
      </w:r>
      <w:proofErr w:type="spellEnd"/>
      <w:r>
        <w:t>. Beta is the regression slope (sensitivity to benchmark movement); Alpha is the regression intercept, annualized by multiplying by 252 (representing return unexplained by benchmark movement).</w:t>
      </w:r>
    </w:p>
    <w:p w14:paraId="49268E2F" w14:textId="77777777" w:rsidR="00234C32" w:rsidRDefault="00234C32" w:rsidP="00234C32"/>
    <w:p w14:paraId="672973F1" w14:textId="77777777" w:rsidR="00234C32" w:rsidRDefault="00234C32" w:rsidP="00234C32">
      <w:r>
        <w:lastRenderedPageBreak/>
        <w:t>Maximum Drawdown: For each point in time, drawdown = (</w:t>
      </w:r>
      <w:proofErr w:type="spellStart"/>
      <w:r>
        <w:t>NAV_t</w:t>
      </w:r>
      <w:proofErr w:type="spellEnd"/>
      <w:r>
        <w:t xml:space="preserve"> / </w:t>
      </w:r>
      <w:proofErr w:type="spellStart"/>
      <w:r>
        <w:t>running_maximum_NAV</w:t>
      </w:r>
      <w:proofErr w:type="spellEnd"/>
      <w:r>
        <w:t>) − 1. Maximum drawdown is the most negative value of this series across the fund's full history, with peak and trough dates identified as the last all-time-high before, and the lowest point during, the decline.</w:t>
      </w:r>
    </w:p>
    <w:p w14:paraId="3C51E0B5" w14:textId="77777777" w:rsidR="00234C32" w:rsidRDefault="00234C32" w:rsidP="00234C32"/>
    <w:p w14:paraId="2C2658C5" w14:textId="77777777" w:rsidR="00234C32" w:rsidRDefault="00234C32" w:rsidP="00234C32">
      <w:r>
        <w:t xml:space="preserve">Fund Scorecard: A composite 0–100 score computed as: 30% × </w:t>
      </w:r>
      <w:proofErr w:type="spellStart"/>
      <w:r>
        <w:t>percentile_</w:t>
      </w:r>
      <w:proofErr w:type="gramStart"/>
      <w:r>
        <w:t>rank</w:t>
      </w:r>
      <w:proofErr w:type="spellEnd"/>
      <w:r>
        <w:t>(</w:t>
      </w:r>
      <w:proofErr w:type="gramEnd"/>
      <w:r>
        <w:t xml:space="preserve">3yr CAGR) + 25% × </w:t>
      </w:r>
      <w:proofErr w:type="spellStart"/>
      <w:r>
        <w:t>percentile_</w:t>
      </w:r>
      <w:proofErr w:type="gramStart"/>
      <w:r>
        <w:t>rank</w:t>
      </w:r>
      <w:proofErr w:type="spellEnd"/>
      <w:r>
        <w:t>(</w:t>
      </w:r>
      <w:proofErr w:type="gramEnd"/>
      <w:r>
        <w:t xml:space="preserve">Sharpe Ratio) + 20% × </w:t>
      </w:r>
      <w:proofErr w:type="spellStart"/>
      <w:r>
        <w:t>percentile_</w:t>
      </w:r>
      <w:proofErr w:type="gramStart"/>
      <w:r>
        <w:t>rank</w:t>
      </w:r>
      <w:proofErr w:type="spellEnd"/>
      <w:r>
        <w:t>(</w:t>
      </w:r>
      <w:proofErr w:type="gramEnd"/>
      <w:r>
        <w:t xml:space="preserve">Alpha) + 15% × </w:t>
      </w:r>
      <w:proofErr w:type="spellStart"/>
      <w:r>
        <w:t>percentile_</w:t>
      </w:r>
      <w:proofErr w:type="gramStart"/>
      <w:r>
        <w:t>rank</w:t>
      </w:r>
      <w:proofErr w:type="spellEnd"/>
      <w:r>
        <w:t>(</w:t>
      </w:r>
      <w:proofErr w:type="gramEnd"/>
      <w:r>
        <w:t xml:space="preserve">inverse Expense Ratio) + 10% × </w:t>
      </w:r>
      <w:proofErr w:type="spellStart"/>
      <w:r>
        <w:t>percentile_</w:t>
      </w:r>
      <w:proofErr w:type="gramStart"/>
      <w:r>
        <w:t>rank</w:t>
      </w:r>
      <w:proofErr w:type="spellEnd"/>
      <w:r>
        <w:t>(</w:t>
      </w:r>
      <w:proofErr w:type="gramEnd"/>
      <w:r>
        <w:t>inverse Max Drawdown). Percentile ranks are calculated across all 40 schemes, with expense ratio and max drawdown inverted so that lower cost and shallower drawdown score higher.</w:t>
      </w:r>
    </w:p>
    <w:p w14:paraId="56284F50" w14:textId="77777777" w:rsidR="00234C32" w:rsidRDefault="00234C32" w:rsidP="00234C32"/>
    <w:p w14:paraId="0AEBE9CF" w14:textId="4793A6C1" w:rsidR="00234C32" w:rsidRDefault="00234C32" w:rsidP="00234C32">
      <w:r>
        <w:t xml:space="preserve">Tracking Error: Calculated as the annualized standard deviation of the daily difference between fund returns and benchmark returns: </w:t>
      </w:r>
      <w:proofErr w:type="spellStart"/>
      <w:r>
        <w:t>tracking_error</w:t>
      </w:r>
      <w:proofErr w:type="spellEnd"/>
      <w:r>
        <w:t xml:space="preserve"> = </w:t>
      </w:r>
      <w:proofErr w:type="gramStart"/>
      <w:r>
        <w:t>σ(</w:t>
      </w:r>
      <w:proofErr w:type="spellStart"/>
      <w:proofErr w:type="gramEnd"/>
      <w:r>
        <w:t>Rfund</w:t>
      </w:r>
      <w:proofErr w:type="spellEnd"/>
      <w:r>
        <w:t xml:space="preserve"> − </w:t>
      </w:r>
      <w:proofErr w:type="spellStart"/>
      <w:r>
        <w:t>Rbenchmark</w:t>
      </w:r>
      <w:proofErr w:type="spellEnd"/>
      <w:r>
        <w:t>) × √252.</w:t>
      </w:r>
    </w:p>
    <w:p w14:paraId="06710665" w14:textId="77777777" w:rsidR="00234C32" w:rsidRDefault="00234C32">
      <w:r>
        <w:br w:type="page"/>
      </w:r>
    </w:p>
    <w:p w14:paraId="0FC65ABC" w14:textId="7CAD9B84" w:rsidR="00234C32" w:rsidRDefault="00234C32" w:rsidP="00234C32">
      <w:pPr>
        <w:pStyle w:val="Heading1"/>
      </w:pPr>
      <w:r w:rsidRPr="00234C32">
        <w:lastRenderedPageBreak/>
        <w:t>Appendix B: Complete Fund Scorecard (All 40 Schemes)</w:t>
      </w:r>
    </w:p>
    <w:p w14:paraId="14D88A65" w14:textId="77777777" w:rsidR="00234C32" w:rsidRDefault="00234C32" w:rsidP="00234C32"/>
    <w:tbl>
      <w:tblPr>
        <w:tblW w:w="9360" w:type="dxa"/>
        <w:tblLook w:val="04A0" w:firstRow="1" w:lastRow="0" w:firstColumn="1" w:lastColumn="0" w:noHBand="0" w:noVBand="1"/>
      </w:tblPr>
      <w:tblGrid>
        <w:gridCol w:w="1489"/>
        <w:gridCol w:w="972"/>
        <w:gridCol w:w="933"/>
        <w:gridCol w:w="864"/>
        <w:gridCol w:w="964"/>
        <w:gridCol w:w="964"/>
        <w:gridCol w:w="964"/>
        <w:gridCol w:w="1053"/>
        <w:gridCol w:w="1157"/>
      </w:tblGrid>
      <w:tr w:rsidR="00876A3C" w:rsidRPr="00876A3C" w14:paraId="0F6F0F00" w14:textId="77777777" w:rsidTr="00876A3C">
        <w:trPr>
          <w:trHeight w:val="288"/>
        </w:trPr>
        <w:tc>
          <w:tcPr>
            <w:tcW w:w="1641" w:type="dxa"/>
            <w:tcBorders>
              <w:top w:val="nil"/>
              <w:left w:val="nil"/>
              <w:bottom w:val="nil"/>
              <w:right w:val="nil"/>
            </w:tcBorders>
            <w:noWrap/>
            <w:vAlign w:val="bottom"/>
            <w:hideMark/>
          </w:tcPr>
          <w:p w14:paraId="542AB9F5" w14:textId="77777777" w:rsidR="00876A3C" w:rsidRPr="00876A3C" w:rsidRDefault="00876A3C" w:rsidP="00876A3C">
            <w:pPr>
              <w:spacing w:after="0" w:line="240" w:lineRule="auto"/>
              <w:rPr>
                <w:rFonts w:ascii="Times New Roman" w:eastAsia="Times New Roman" w:hAnsi="Times New Roman" w:cs="Times New Roman"/>
                <w:kern w:val="0"/>
                <w14:ligatures w14:val="none"/>
              </w:rPr>
            </w:pPr>
          </w:p>
        </w:tc>
        <w:tc>
          <w:tcPr>
            <w:tcW w:w="1062" w:type="dxa"/>
            <w:tcBorders>
              <w:top w:val="nil"/>
              <w:left w:val="nil"/>
              <w:bottom w:val="nil"/>
              <w:right w:val="nil"/>
            </w:tcBorders>
            <w:noWrap/>
            <w:vAlign w:val="bottom"/>
            <w:hideMark/>
          </w:tcPr>
          <w:p w14:paraId="77E1AF44" w14:textId="280DCA0D" w:rsid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Overall</w:t>
            </w:r>
          </w:p>
          <w:p w14:paraId="062CD475" w14:textId="6CBF09A3"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Rank</w:t>
            </w:r>
          </w:p>
        </w:tc>
        <w:tc>
          <w:tcPr>
            <w:tcW w:w="897" w:type="dxa"/>
            <w:tcBorders>
              <w:top w:val="nil"/>
              <w:left w:val="nil"/>
              <w:bottom w:val="nil"/>
              <w:right w:val="nil"/>
            </w:tcBorders>
            <w:noWrap/>
            <w:vAlign w:val="bottom"/>
            <w:hideMark/>
          </w:tcPr>
          <w:p w14:paraId="00DF47ED"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Category</w:t>
            </w:r>
          </w:p>
        </w:tc>
        <w:tc>
          <w:tcPr>
            <w:tcW w:w="857" w:type="dxa"/>
            <w:tcBorders>
              <w:top w:val="nil"/>
              <w:left w:val="nil"/>
              <w:bottom w:val="nil"/>
              <w:right w:val="nil"/>
            </w:tcBorders>
            <w:noWrap/>
            <w:vAlign w:val="bottom"/>
            <w:hideMark/>
          </w:tcPr>
          <w:p w14:paraId="10D70426" w14:textId="76EE70EF"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Fund</w:t>
            </w:r>
            <w:r>
              <w:rPr>
                <w:rFonts w:ascii="Calibri" w:eastAsia="Times New Roman" w:hAnsi="Calibri" w:cs="Calibri"/>
                <w:color w:val="000000"/>
                <w:kern w:val="0"/>
                <w:sz w:val="22"/>
                <w:szCs w:val="22"/>
                <w14:ligatures w14:val="none"/>
              </w:rPr>
              <w:t xml:space="preserve"> </w:t>
            </w:r>
            <w:r w:rsidRPr="00876A3C">
              <w:rPr>
                <w:rFonts w:ascii="Calibri" w:eastAsia="Times New Roman" w:hAnsi="Calibri" w:cs="Calibri"/>
                <w:color w:val="000000"/>
                <w:kern w:val="0"/>
                <w:sz w:val="22"/>
                <w:szCs w:val="22"/>
                <w14:ligatures w14:val="none"/>
              </w:rPr>
              <w:t>Score</w:t>
            </w:r>
          </w:p>
        </w:tc>
        <w:tc>
          <w:tcPr>
            <w:tcW w:w="858" w:type="dxa"/>
            <w:tcBorders>
              <w:top w:val="nil"/>
              <w:left w:val="nil"/>
              <w:bottom w:val="nil"/>
              <w:right w:val="nil"/>
            </w:tcBorders>
            <w:noWrap/>
            <w:vAlign w:val="bottom"/>
            <w:hideMark/>
          </w:tcPr>
          <w:p w14:paraId="23C6F05D" w14:textId="3134E3A4"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CAGR</w:t>
            </w:r>
            <w:r>
              <w:rPr>
                <w:rFonts w:ascii="Calibri" w:eastAsia="Times New Roman" w:hAnsi="Calibri" w:cs="Calibri"/>
                <w:color w:val="000000"/>
                <w:kern w:val="0"/>
                <w:sz w:val="22"/>
                <w:szCs w:val="22"/>
                <w14:ligatures w14:val="none"/>
              </w:rPr>
              <w:t xml:space="preserve"> </w:t>
            </w:r>
            <w:r w:rsidRPr="00876A3C">
              <w:rPr>
                <w:rFonts w:ascii="Calibri" w:eastAsia="Times New Roman" w:hAnsi="Calibri" w:cs="Calibri"/>
                <w:color w:val="000000"/>
                <w:kern w:val="0"/>
                <w:sz w:val="22"/>
                <w:szCs w:val="22"/>
                <w14:ligatures w14:val="none"/>
              </w:rPr>
              <w:t>3yr</w:t>
            </w:r>
          </w:p>
        </w:tc>
        <w:tc>
          <w:tcPr>
            <w:tcW w:w="812" w:type="dxa"/>
            <w:tcBorders>
              <w:top w:val="nil"/>
              <w:left w:val="nil"/>
              <w:bottom w:val="nil"/>
              <w:right w:val="nil"/>
            </w:tcBorders>
            <w:noWrap/>
            <w:vAlign w:val="bottom"/>
            <w:hideMark/>
          </w:tcPr>
          <w:p w14:paraId="0F31E35E" w14:textId="77777777" w:rsid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Sharpe</w:t>
            </w:r>
          </w:p>
          <w:p w14:paraId="21FFD480"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p>
        </w:tc>
        <w:tc>
          <w:tcPr>
            <w:tcW w:w="812" w:type="dxa"/>
            <w:tcBorders>
              <w:top w:val="nil"/>
              <w:left w:val="nil"/>
              <w:bottom w:val="nil"/>
              <w:right w:val="nil"/>
            </w:tcBorders>
            <w:noWrap/>
            <w:vAlign w:val="bottom"/>
            <w:hideMark/>
          </w:tcPr>
          <w:p w14:paraId="0F18D90C" w14:textId="77777777" w:rsid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Alpha</w:t>
            </w:r>
          </w:p>
          <w:p w14:paraId="6E87F0E0"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p>
        </w:tc>
        <w:tc>
          <w:tcPr>
            <w:tcW w:w="1152" w:type="dxa"/>
            <w:tcBorders>
              <w:top w:val="nil"/>
              <w:left w:val="nil"/>
              <w:bottom w:val="nil"/>
              <w:right w:val="nil"/>
            </w:tcBorders>
            <w:noWrap/>
            <w:vAlign w:val="bottom"/>
            <w:hideMark/>
          </w:tcPr>
          <w:p w14:paraId="0D4EA8A2" w14:textId="77777777" w:rsidR="004302F8"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Expense</w:t>
            </w:r>
          </w:p>
          <w:p w14:paraId="7030B6AC" w14:textId="4451B30C"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Ratio</w:t>
            </w:r>
          </w:p>
        </w:tc>
        <w:tc>
          <w:tcPr>
            <w:tcW w:w="1269" w:type="dxa"/>
            <w:tcBorders>
              <w:top w:val="nil"/>
              <w:left w:val="nil"/>
              <w:bottom w:val="nil"/>
              <w:right w:val="nil"/>
            </w:tcBorders>
            <w:noWrap/>
            <w:vAlign w:val="bottom"/>
            <w:hideMark/>
          </w:tcPr>
          <w:p w14:paraId="17DCDF4B" w14:textId="61AFD013"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Max</w:t>
            </w:r>
            <w:r w:rsidR="004302F8">
              <w:rPr>
                <w:rFonts w:ascii="Calibri" w:eastAsia="Times New Roman" w:hAnsi="Calibri" w:cs="Calibri"/>
                <w:color w:val="000000"/>
                <w:kern w:val="0"/>
                <w:sz w:val="22"/>
                <w:szCs w:val="22"/>
                <w14:ligatures w14:val="none"/>
              </w:rPr>
              <w:t xml:space="preserve"> </w:t>
            </w:r>
            <w:r w:rsidRPr="00876A3C">
              <w:rPr>
                <w:rFonts w:ascii="Calibri" w:eastAsia="Times New Roman" w:hAnsi="Calibri" w:cs="Calibri"/>
                <w:color w:val="000000"/>
                <w:kern w:val="0"/>
                <w:sz w:val="22"/>
                <w:szCs w:val="22"/>
                <w14:ligatures w14:val="none"/>
              </w:rPr>
              <w:t>Draw</w:t>
            </w:r>
            <w:r w:rsidR="004302F8">
              <w:rPr>
                <w:rFonts w:ascii="Calibri" w:eastAsia="Times New Roman" w:hAnsi="Calibri" w:cs="Calibri"/>
                <w:color w:val="000000"/>
                <w:kern w:val="0"/>
                <w:sz w:val="22"/>
                <w:szCs w:val="22"/>
                <w14:ligatures w14:val="none"/>
              </w:rPr>
              <w:t xml:space="preserve"> </w:t>
            </w:r>
            <w:r w:rsidRPr="00876A3C">
              <w:rPr>
                <w:rFonts w:ascii="Calibri" w:eastAsia="Times New Roman" w:hAnsi="Calibri" w:cs="Calibri"/>
                <w:color w:val="000000"/>
                <w:kern w:val="0"/>
                <w:sz w:val="22"/>
                <w:szCs w:val="22"/>
                <w14:ligatures w14:val="none"/>
              </w:rPr>
              <w:t>down</w:t>
            </w:r>
          </w:p>
        </w:tc>
      </w:tr>
      <w:tr w:rsidR="00876A3C" w:rsidRPr="00876A3C" w14:paraId="419A19B0" w14:textId="77777777" w:rsidTr="00876A3C">
        <w:trPr>
          <w:trHeight w:val="288"/>
        </w:trPr>
        <w:tc>
          <w:tcPr>
            <w:tcW w:w="1641" w:type="dxa"/>
            <w:tcBorders>
              <w:top w:val="nil"/>
              <w:left w:val="nil"/>
              <w:bottom w:val="nil"/>
              <w:right w:val="nil"/>
            </w:tcBorders>
            <w:noWrap/>
            <w:vAlign w:val="bottom"/>
            <w:hideMark/>
          </w:tcPr>
          <w:p w14:paraId="329F22CE"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UTI Mid Cap Fund - Regular - Growth</w:t>
            </w:r>
          </w:p>
        </w:tc>
        <w:tc>
          <w:tcPr>
            <w:tcW w:w="1062" w:type="dxa"/>
            <w:tcBorders>
              <w:top w:val="nil"/>
              <w:left w:val="nil"/>
              <w:bottom w:val="nil"/>
              <w:right w:val="nil"/>
            </w:tcBorders>
            <w:noWrap/>
            <w:vAlign w:val="bottom"/>
            <w:hideMark/>
          </w:tcPr>
          <w:p w14:paraId="1E070E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w:t>
            </w:r>
          </w:p>
        </w:tc>
        <w:tc>
          <w:tcPr>
            <w:tcW w:w="897" w:type="dxa"/>
            <w:tcBorders>
              <w:top w:val="nil"/>
              <w:left w:val="nil"/>
              <w:bottom w:val="nil"/>
              <w:right w:val="nil"/>
            </w:tcBorders>
            <w:noWrap/>
            <w:vAlign w:val="bottom"/>
            <w:hideMark/>
          </w:tcPr>
          <w:p w14:paraId="0FBD900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764AF20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88.1875</w:t>
            </w:r>
          </w:p>
        </w:tc>
        <w:tc>
          <w:tcPr>
            <w:tcW w:w="858" w:type="dxa"/>
            <w:tcBorders>
              <w:top w:val="nil"/>
              <w:left w:val="nil"/>
              <w:bottom w:val="nil"/>
              <w:right w:val="nil"/>
            </w:tcBorders>
            <w:noWrap/>
            <w:vAlign w:val="bottom"/>
            <w:hideMark/>
          </w:tcPr>
          <w:p w14:paraId="3434953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-0.00767</w:t>
            </w:r>
          </w:p>
        </w:tc>
        <w:tc>
          <w:tcPr>
            <w:tcW w:w="812" w:type="dxa"/>
            <w:tcBorders>
              <w:top w:val="nil"/>
              <w:left w:val="nil"/>
              <w:bottom w:val="nil"/>
              <w:right w:val="nil"/>
            </w:tcBorders>
            <w:noWrap/>
            <w:vAlign w:val="bottom"/>
            <w:hideMark/>
          </w:tcPr>
          <w:p w14:paraId="604D5DA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-0.20583</w:t>
            </w:r>
          </w:p>
        </w:tc>
        <w:tc>
          <w:tcPr>
            <w:tcW w:w="812" w:type="dxa"/>
            <w:tcBorders>
              <w:top w:val="nil"/>
              <w:left w:val="nil"/>
              <w:bottom w:val="nil"/>
              <w:right w:val="nil"/>
            </w:tcBorders>
            <w:noWrap/>
            <w:vAlign w:val="bottom"/>
            <w:hideMark/>
          </w:tcPr>
          <w:p w14:paraId="130FE25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0.028969</w:t>
            </w:r>
          </w:p>
        </w:tc>
        <w:tc>
          <w:tcPr>
            <w:tcW w:w="1152" w:type="dxa"/>
            <w:tcBorders>
              <w:top w:val="nil"/>
              <w:left w:val="nil"/>
              <w:bottom w:val="nil"/>
              <w:right w:val="nil"/>
            </w:tcBorders>
            <w:noWrap/>
            <w:vAlign w:val="bottom"/>
            <w:hideMark/>
          </w:tcPr>
          <w:p w14:paraId="636AB5F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1.51</w:t>
            </w:r>
          </w:p>
        </w:tc>
        <w:tc>
          <w:tcPr>
            <w:tcW w:w="1269" w:type="dxa"/>
            <w:tcBorders>
              <w:top w:val="nil"/>
              <w:left w:val="nil"/>
              <w:bottom w:val="nil"/>
              <w:right w:val="nil"/>
            </w:tcBorders>
            <w:noWrap/>
            <w:vAlign w:val="bottom"/>
            <w:hideMark/>
          </w:tcPr>
          <w:p w14:paraId="0FD38B7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-0.28001</w:t>
            </w:r>
          </w:p>
        </w:tc>
      </w:tr>
      <w:tr w:rsidR="00876A3C" w:rsidRPr="00876A3C" w14:paraId="30BF946C" w14:textId="77777777" w:rsidTr="00876A3C">
        <w:trPr>
          <w:trHeight w:val="288"/>
        </w:trPr>
        <w:tc>
          <w:tcPr>
            <w:tcW w:w="1641" w:type="dxa"/>
            <w:tcBorders>
              <w:top w:val="nil"/>
              <w:left w:val="nil"/>
              <w:bottom w:val="nil"/>
              <w:right w:val="nil"/>
            </w:tcBorders>
            <w:noWrap/>
            <w:vAlign w:val="bottom"/>
            <w:hideMark/>
          </w:tcPr>
          <w:p w14:paraId="4FD85D63"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HDFC Top 100 Fund - Regular Plan - Growth</w:t>
            </w:r>
          </w:p>
        </w:tc>
        <w:tc>
          <w:tcPr>
            <w:tcW w:w="1062" w:type="dxa"/>
            <w:tcBorders>
              <w:top w:val="nil"/>
              <w:left w:val="nil"/>
              <w:bottom w:val="nil"/>
              <w:right w:val="nil"/>
            </w:tcBorders>
            <w:noWrap/>
            <w:vAlign w:val="bottom"/>
            <w:hideMark/>
          </w:tcPr>
          <w:p w14:paraId="3A8380B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w:t>
            </w:r>
          </w:p>
        </w:tc>
        <w:tc>
          <w:tcPr>
            <w:tcW w:w="897" w:type="dxa"/>
            <w:tcBorders>
              <w:top w:val="nil"/>
              <w:left w:val="nil"/>
              <w:bottom w:val="nil"/>
              <w:right w:val="nil"/>
            </w:tcBorders>
            <w:noWrap/>
            <w:vAlign w:val="bottom"/>
            <w:hideMark/>
          </w:tcPr>
          <w:p w14:paraId="61EEFAC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2818550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88.125</w:t>
            </w:r>
          </w:p>
        </w:tc>
        <w:tc>
          <w:tcPr>
            <w:tcW w:w="858" w:type="dxa"/>
            <w:tcBorders>
              <w:top w:val="nil"/>
              <w:left w:val="nil"/>
              <w:bottom w:val="nil"/>
              <w:right w:val="nil"/>
            </w:tcBorders>
            <w:noWrap/>
            <w:vAlign w:val="bottom"/>
            <w:hideMark/>
          </w:tcPr>
          <w:p w14:paraId="4882BD1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0.012924</w:t>
            </w:r>
          </w:p>
        </w:tc>
        <w:tc>
          <w:tcPr>
            <w:tcW w:w="812" w:type="dxa"/>
            <w:tcBorders>
              <w:top w:val="nil"/>
              <w:left w:val="nil"/>
              <w:bottom w:val="nil"/>
              <w:right w:val="nil"/>
            </w:tcBorders>
            <w:noWrap/>
            <w:vAlign w:val="bottom"/>
            <w:hideMark/>
          </w:tcPr>
          <w:p w14:paraId="5A9DFDF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-0.20152</w:t>
            </w:r>
          </w:p>
        </w:tc>
        <w:tc>
          <w:tcPr>
            <w:tcW w:w="812" w:type="dxa"/>
            <w:tcBorders>
              <w:top w:val="nil"/>
              <w:left w:val="nil"/>
              <w:bottom w:val="nil"/>
              <w:right w:val="nil"/>
            </w:tcBorders>
            <w:noWrap/>
            <w:vAlign w:val="bottom"/>
            <w:hideMark/>
          </w:tcPr>
          <w:p w14:paraId="7A25C7C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0.037476</w:t>
            </w:r>
          </w:p>
        </w:tc>
        <w:tc>
          <w:tcPr>
            <w:tcW w:w="1152" w:type="dxa"/>
            <w:tcBorders>
              <w:top w:val="nil"/>
              <w:left w:val="nil"/>
              <w:bottom w:val="nil"/>
              <w:right w:val="nil"/>
            </w:tcBorders>
            <w:noWrap/>
            <w:vAlign w:val="bottom"/>
            <w:hideMark/>
          </w:tcPr>
          <w:p w14:paraId="166EC4B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1.55</w:t>
            </w:r>
          </w:p>
        </w:tc>
        <w:tc>
          <w:tcPr>
            <w:tcW w:w="1269" w:type="dxa"/>
            <w:tcBorders>
              <w:top w:val="nil"/>
              <w:left w:val="nil"/>
              <w:bottom w:val="nil"/>
              <w:right w:val="nil"/>
            </w:tcBorders>
            <w:noWrap/>
            <w:vAlign w:val="bottom"/>
            <w:hideMark/>
          </w:tcPr>
          <w:p w14:paraId="327E423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-0.24734</w:t>
            </w:r>
          </w:p>
        </w:tc>
      </w:tr>
      <w:tr w:rsidR="00876A3C" w:rsidRPr="00876A3C" w14:paraId="523CB16A" w14:textId="77777777" w:rsidTr="00876A3C">
        <w:trPr>
          <w:trHeight w:val="288"/>
        </w:trPr>
        <w:tc>
          <w:tcPr>
            <w:tcW w:w="1641" w:type="dxa"/>
            <w:tcBorders>
              <w:top w:val="nil"/>
              <w:left w:val="nil"/>
              <w:bottom w:val="nil"/>
              <w:right w:val="nil"/>
            </w:tcBorders>
            <w:noWrap/>
            <w:vAlign w:val="bottom"/>
            <w:hideMark/>
          </w:tcPr>
          <w:p w14:paraId="40ADB58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Axis Small Cap Fund - Regular - Growth</w:t>
            </w:r>
          </w:p>
        </w:tc>
        <w:tc>
          <w:tcPr>
            <w:tcW w:w="1062" w:type="dxa"/>
            <w:tcBorders>
              <w:top w:val="nil"/>
              <w:left w:val="nil"/>
              <w:bottom w:val="nil"/>
              <w:right w:val="nil"/>
            </w:tcBorders>
            <w:noWrap/>
            <w:vAlign w:val="bottom"/>
            <w:hideMark/>
          </w:tcPr>
          <w:p w14:paraId="631A8C2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w:t>
            </w:r>
          </w:p>
        </w:tc>
        <w:tc>
          <w:tcPr>
            <w:tcW w:w="897" w:type="dxa"/>
            <w:tcBorders>
              <w:top w:val="nil"/>
              <w:left w:val="nil"/>
              <w:bottom w:val="nil"/>
              <w:right w:val="nil"/>
            </w:tcBorders>
            <w:noWrap/>
            <w:vAlign w:val="bottom"/>
            <w:hideMark/>
          </w:tcPr>
          <w:p w14:paraId="0C80B62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40D7B54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85.25</w:t>
            </w:r>
          </w:p>
        </w:tc>
        <w:tc>
          <w:tcPr>
            <w:tcW w:w="858" w:type="dxa"/>
            <w:tcBorders>
              <w:top w:val="nil"/>
              <w:left w:val="nil"/>
              <w:bottom w:val="nil"/>
              <w:right w:val="nil"/>
            </w:tcBorders>
            <w:noWrap/>
            <w:vAlign w:val="bottom"/>
            <w:hideMark/>
          </w:tcPr>
          <w:p w14:paraId="2E53365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-0.11703</w:t>
            </w:r>
          </w:p>
        </w:tc>
        <w:tc>
          <w:tcPr>
            <w:tcW w:w="812" w:type="dxa"/>
            <w:tcBorders>
              <w:top w:val="nil"/>
              <w:left w:val="nil"/>
              <w:bottom w:val="nil"/>
              <w:right w:val="nil"/>
            </w:tcBorders>
            <w:noWrap/>
            <w:vAlign w:val="bottom"/>
            <w:hideMark/>
          </w:tcPr>
          <w:p w14:paraId="4958B2F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-0.07597</w:t>
            </w:r>
          </w:p>
        </w:tc>
        <w:tc>
          <w:tcPr>
            <w:tcW w:w="812" w:type="dxa"/>
            <w:tcBorders>
              <w:top w:val="nil"/>
              <w:left w:val="nil"/>
              <w:bottom w:val="nil"/>
              <w:right w:val="nil"/>
            </w:tcBorders>
            <w:noWrap/>
            <w:vAlign w:val="bottom"/>
            <w:hideMark/>
          </w:tcPr>
          <w:p w14:paraId="6AD6CE9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0.048016</w:t>
            </w:r>
          </w:p>
        </w:tc>
        <w:tc>
          <w:tcPr>
            <w:tcW w:w="1152" w:type="dxa"/>
            <w:tcBorders>
              <w:top w:val="nil"/>
              <w:left w:val="nil"/>
              <w:bottom w:val="nil"/>
              <w:right w:val="nil"/>
            </w:tcBorders>
            <w:noWrap/>
            <w:vAlign w:val="bottom"/>
            <w:hideMark/>
          </w:tcPr>
          <w:p w14:paraId="4DC0C31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1.38</w:t>
            </w:r>
          </w:p>
        </w:tc>
        <w:tc>
          <w:tcPr>
            <w:tcW w:w="1269" w:type="dxa"/>
            <w:tcBorders>
              <w:top w:val="nil"/>
              <w:left w:val="nil"/>
              <w:bottom w:val="nil"/>
              <w:right w:val="nil"/>
            </w:tcBorders>
            <w:noWrap/>
            <w:vAlign w:val="bottom"/>
            <w:hideMark/>
          </w:tcPr>
          <w:p w14:paraId="7709E90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-0.51678</w:t>
            </w:r>
          </w:p>
        </w:tc>
      </w:tr>
      <w:tr w:rsidR="00876A3C" w:rsidRPr="00876A3C" w14:paraId="3EBC07F7" w14:textId="77777777" w:rsidTr="00876A3C">
        <w:trPr>
          <w:trHeight w:val="288"/>
        </w:trPr>
        <w:tc>
          <w:tcPr>
            <w:tcW w:w="1641" w:type="dxa"/>
            <w:tcBorders>
              <w:top w:val="nil"/>
              <w:left w:val="nil"/>
              <w:bottom w:val="nil"/>
              <w:right w:val="nil"/>
            </w:tcBorders>
            <w:noWrap/>
            <w:vAlign w:val="bottom"/>
            <w:hideMark/>
          </w:tcPr>
          <w:p w14:paraId="7D6F18A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ABSL Small Cap Fund - Regular - Growth</w:t>
            </w:r>
          </w:p>
        </w:tc>
        <w:tc>
          <w:tcPr>
            <w:tcW w:w="1062" w:type="dxa"/>
            <w:tcBorders>
              <w:top w:val="nil"/>
              <w:left w:val="nil"/>
              <w:bottom w:val="nil"/>
              <w:right w:val="nil"/>
            </w:tcBorders>
            <w:noWrap/>
            <w:vAlign w:val="bottom"/>
            <w:hideMark/>
          </w:tcPr>
          <w:p w14:paraId="2A10D2A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w:t>
            </w:r>
          </w:p>
        </w:tc>
        <w:tc>
          <w:tcPr>
            <w:tcW w:w="897" w:type="dxa"/>
            <w:tcBorders>
              <w:top w:val="nil"/>
              <w:left w:val="nil"/>
              <w:bottom w:val="nil"/>
              <w:right w:val="nil"/>
            </w:tcBorders>
            <w:noWrap/>
            <w:vAlign w:val="bottom"/>
            <w:hideMark/>
          </w:tcPr>
          <w:p w14:paraId="626CFA99"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9D69B7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80.4375</w:t>
            </w:r>
          </w:p>
        </w:tc>
        <w:tc>
          <w:tcPr>
            <w:tcW w:w="858" w:type="dxa"/>
            <w:tcBorders>
              <w:top w:val="nil"/>
              <w:left w:val="nil"/>
              <w:bottom w:val="nil"/>
              <w:right w:val="nil"/>
            </w:tcBorders>
            <w:noWrap/>
            <w:vAlign w:val="bottom"/>
            <w:hideMark/>
          </w:tcPr>
          <w:p w14:paraId="0916326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-0.04151</w:t>
            </w:r>
          </w:p>
        </w:tc>
        <w:tc>
          <w:tcPr>
            <w:tcW w:w="812" w:type="dxa"/>
            <w:tcBorders>
              <w:top w:val="nil"/>
              <w:left w:val="nil"/>
              <w:bottom w:val="nil"/>
              <w:right w:val="nil"/>
            </w:tcBorders>
            <w:noWrap/>
            <w:vAlign w:val="bottom"/>
            <w:hideMark/>
          </w:tcPr>
          <w:p w14:paraId="3398E9B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0.162661</w:t>
            </w:r>
          </w:p>
        </w:tc>
        <w:tc>
          <w:tcPr>
            <w:tcW w:w="812" w:type="dxa"/>
            <w:tcBorders>
              <w:top w:val="nil"/>
              <w:left w:val="nil"/>
              <w:bottom w:val="nil"/>
              <w:right w:val="nil"/>
            </w:tcBorders>
            <w:noWrap/>
            <w:vAlign w:val="bottom"/>
            <w:hideMark/>
          </w:tcPr>
          <w:p w14:paraId="0C4B103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0.108971</w:t>
            </w:r>
          </w:p>
        </w:tc>
        <w:tc>
          <w:tcPr>
            <w:tcW w:w="1152" w:type="dxa"/>
            <w:tcBorders>
              <w:top w:val="nil"/>
              <w:left w:val="nil"/>
              <w:bottom w:val="nil"/>
              <w:right w:val="nil"/>
            </w:tcBorders>
            <w:noWrap/>
            <w:vAlign w:val="bottom"/>
            <w:hideMark/>
          </w:tcPr>
          <w:p w14:paraId="36B8BAD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1.53</w:t>
            </w:r>
          </w:p>
        </w:tc>
        <w:tc>
          <w:tcPr>
            <w:tcW w:w="1269" w:type="dxa"/>
            <w:tcBorders>
              <w:top w:val="nil"/>
              <w:left w:val="nil"/>
              <w:bottom w:val="nil"/>
              <w:right w:val="nil"/>
            </w:tcBorders>
            <w:noWrap/>
            <w:vAlign w:val="bottom"/>
            <w:hideMark/>
          </w:tcPr>
          <w:p w14:paraId="67E45C7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-0.35447</w:t>
            </w:r>
          </w:p>
        </w:tc>
      </w:tr>
      <w:tr w:rsidR="00876A3C" w:rsidRPr="00876A3C" w14:paraId="7EE5DD19" w14:textId="77777777" w:rsidTr="00876A3C">
        <w:trPr>
          <w:trHeight w:val="288"/>
        </w:trPr>
        <w:tc>
          <w:tcPr>
            <w:tcW w:w="1641" w:type="dxa"/>
            <w:tcBorders>
              <w:top w:val="nil"/>
              <w:left w:val="nil"/>
              <w:bottom w:val="nil"/>
              <w:right w:val="nil"/>
            </w:tcBorders>
            <w:noWrap/>
            <w:vAlign w:val="bottom"/>
            <w:hideMark/>
          </w:tcPr>
          <w:p w14:paraId="4E8A5430"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Axis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Regular - Growth</w:t>
            </w:r>
          </w:p>
        </w:tc>
        <w:tc>
          <w:tcPr>
            <w:tcW w:w="1062" w:type="dxa"/>
            <w:tcBorders>
              <w:top w:val="nil"/>
              <w:left w:val="nil"/>
              <w:bottom w:val="nil"/>
              <w:right w:val="nil"/>
            </w:tcBorders>
            <w:noWrap/>
            <w:vAlign w:val="bottom"/>
            <w:hideMark/>
          </w:tcPr>
          <w:p w14:paraId="2BCC9DE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5</w:t>
            </w:r>
          </w:p>
        </w:tc>
        <w:tc>
          <w:tcPr>
            <w:tcW w:w="897" w:type="dxa"/>
            <w:tcBorders>
              <w:top w:val="nil"/>
              <w:left w:val="nil"/>
              <w:bottom w:val="nil"/>
              <w:right w:val="nil"/>
            </w:tcBorders>
            <w:noWrap/>
            <w:vAlign w:val="bottom"/>
            <w:hideMark/>
          </w:tcPr>
          <w:p w14:paraId="63D1EF3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7D41F4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79.9375</w:t>
            </w:r>
          </w:p>
        </w:tc>
        <w:tc>
          <w:tcPr>
            <w:tcW w:w="858" w:type="dxa"/>
            <w:tcBorders>
              <w:top w:val="nil"/>
              <w:left w:val="nil"/>
              <w:bottom w:val="nil"/>
              <w:right w:val="nil"/>
            </w:tcBorders>
            <w:noWrap/>
            <w:vAlign w:val="bottom"/>
            <w:hideMark/>
          </w:tcPr>
          <w:p w14:paraId="6FC1978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0.005258</w:t>
            </w:r>
          </w:p>
        </w:tc>
        <w:tc>
          <w:tcPr>
            <w:tcW w:w="812" w:type="dxa"/>
            <w:tcBorders>
              <w:top w:val="nil"/>
              <w:left w:val="nil"/>
              <w:bottom w:val="nil"/>
              <w:right w:val="nil"/>
            </w:tcBorders>
            <w:noWrap/>
            <w:vAlign w:val="bottom"/>
            <w:hideMark/>
          </w:tcPr>
          <w:p w14:paraId="70DEE59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0.030785</w:t>
            </w:r>
          </w:p>
        </w:tc>
        <w:tc>
          <w:tcPr>
            <w:tcW w:w="812" w:type="dxa"/>
            <w:tcBorders>
              <w:top w:val="nil"/>
              <w:left w:val="nil"/>
              <w:bottom w:val="nil"/>
              <w:right w:val="nil"/>
            </w:tcBorders>
            <w:noWrap/>
            <w:vAlign w:val="bottom"/>
            <w:hideMark/>
          </w:tcPr>
          <w:p w14:paraId="321BB4A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0.068995</w:t>
            </w:r>
          </w:p>
        </w:tc>
        <w:tc>
          <w:tcPr>
            <w:tcW w:w="1152" w:type="dxa"/>
            <w:tcBorders>
              <w:top w:val="nil"/>
              <w:left w:val="nil"/>
              <w:bottom w:val="nil"/>
              <w:right w:val="nil"/>
            </w:tcBorders>
            <w:noWrap/>
            <w:vAlign w:val="bottom"/>
            <w:hideMark/>
          </w:tcPr>
          <w:p w14:paraId="6BEDD41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1.64</w:t>
            </w:r>
          </w:p>
        </w:tc>
        <w:tc>
          <w:tcPr>
            <w:tcW w:w="1269" w:type="dxa"/>
            <w:tcBorders>
              <w:top w:val="nil"/>
              <w:left w:val="nil"/>
              <w:bottom w:val="nil"/>
              <w:right w:val="nil"/>
            </w:tcBorders>
            <w:noWrap/>
            <w:vAlign w:val="bottom"/>
            <w:hideMark/>
          </w:tcPr>
          <w:p w14:paraId="1DEF42E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-0.14402</w:t>
            </w:r>
          </w:p>
        </w:tc>
      </w:tr>
      <w:tr w:rsidR="00876A3C" w:rsidRPr="00876A3C" w14:paraId="431B18D1" w14:textId="77777777" w:rsidTr="00876A3C">
        <w:trPr>
          <w:trHeight w:val="288"/>
        </w:trPr>
        <w:tc>
          <w:tcPr>
            <w:tcW w:w="1641" w:type="dxa"/>
            <w:tcBorders>
              <w:top w:val="nil"/>
              <w:left w:val="nil"/>
              <w:bottom w:val="nil"/>
              <w:right w:val="nil"/>
            </w:tcBorders>
            <w:noWrap/>
            <w:vAlign w:val="bottom"/>
            <w:hideMark/>
          </w:tcPr>
          <w:p w14:paraId="535FF1BB"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SBI Small Cap Fund - Direct Plan - Growth</w:t>
            </w:r>
          </w:p>
        </w:tc>
        <w:tc>
          <w:tcPr>
            <w:tcW w:w="1062" w:type="dxa"/>
            <w:tcBorders>
              <w:top w:val="nil"/>
              <w:left w:val="nil"/>
              <w:bottom w:val="nil"/>
              <w:right w:val="nil"/>
            </w:tcBorders>
            <w:noWrap/>
            <w:vAlign w:val="bottom"/>
            <w:hideMark/>
          </w:tcPr>
          <w:p w14:paraId="22C9714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w:t>
            </w:r>
          </w:p>
        </w:tc>
        <w:tc>
          <w:tcPr>
            <w:tcW w:w="897" w:type="dxa"/>
            <w:tcBorders>
              <w:top w:val="nil"/>
              <w:left w:val="nil"/>
              <w:bottom w:val="nil"/>
              <w:right w:val="nil"/>
            </w:tcBorders>
            <w:noWrap/>
            <w:vAlign w:val="bottom"/>
            <w:hideMark/>
          </w:tcPr>
          <w:p w14:paraId="250B31D8"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3983F3C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78.5625</w:t>
            </w:r>
          </w:p>
        </w:tc>
        <w:tc>
          <w:tcPr>
            <w:tcW w:w="858" w:type="dxa"/>
            <w:tcBorders>
              <w:top w:val="nil"/>
              <w:left w:val="nil"/>
              <w:bottom w:val="nil"/>
              <w:right w:val="nil"/>
            </w:tcBorders>
            <w:noWrap/>
            <w:vAlign w:val="bottom"/>
            <w:hideMark/>
          </w:tcPr>
          <w:p w14:paraId="162BD7A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-0.01337</w:t>
            </w:r>
          </w:p>
        </w:tc>
        <w:tc>
          <w:tcPr>
            <w:tcW w:w="812" w:type="dxa"/>
            <w:tcBorders>
              <w:top w:val="nil"/>
              <w:left w:val="nil"/>
              <w:bottom w:val="nil"/>
              <w:right w:val="nil"/>
            </w:tcBorders>
            <w:noWrap/>
            <w:vAlign w:val="bottom"/>
            <w:hideMark/>
          </w:tcPr>
          <w:p w14:paraId="2AFC407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-0.05719</w:t>
            </w:r>
          </w:p>
        </w:tc>
        <w:tc>
          <w:tcPr>
            <w:tcW w:w="812" w:type="dxa"/>
            <w:tcBorders>
              <w:top w:val="nil"/>
              <w:left w:val="nil"/>
              <w:bottom w:val="nil"/>
              <w:right w:val="nil"/>
            </w:tcBorders>
            <w:noWrap/>
            <w:vAlign w:val="bottom"/>
            <w:hideMark/>
          </w:tcPr>
          <w:p w14:paraId="2A42BEB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0.048824</w:t>
            </w:r>
          </w:p>
        </w:tc>
        <w:tc>
          <w:tcPr>
            <w:tcW w:w="1152" w:type="dxa"/>
            <w:tcBorders>
              <w:top w:val="nil"/>
              <w:left w:val="nil"/>
              <w:bottom w:val="nil"/>
              <w:right w:val="nil"/>
            </w:tcBorders>
            <w:noWrap/>
            <w:vAlign w:val="bottom"/>
            <w:hideMark/>
          </w:tcPr>
          <w:p w14:paraId="5D9A90D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0.72</w:t>
            </w:r>
          </w:p>
        </w:tc>
        <w:tc>
          <w:tcPr>
            <w:tcW w:w="1269" w:type="dxa"/>
            <w:tcBorders>
              <w:top w:val="nil"/>
              <w:left w:val="nil"/>
              <w:bottom w:val="nil"/>
              <w:right w:val="nil"/>
            </w:tcBorders>
            <w:noWrap/>
            <w:vAlign w:val="bottom"/>
            <w:hideMark/>
          </w:tcPr>
          <w:p w14:paraId="0DB3BB0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-0.52574</w:t>
            </w:r>
          </w:p>
        </w:tc>
      </w:tr>
      <w:tr w:rsidR="00876A3C" w:rsidRPr="00876A3C" w14:paraId="01B3C267" w14:textId="77777777" w:rsidTr="00876A3C">
        <w:trPr>
          <w:trHeight w:val="288"/>
        </w:trPr>
        <w:tc>
          <w:tcPr>
            <w:tcW w:w="1641" w:type="dxa"/>
            <w:tcBorders>
              <w:top w:val="nil"/>
              <w:left w:val="nil"/>
              <w:bottom w:val="nil"/>
              <w:right w:val="nil"/>
            </w:tcBorders>
            <w:noWrap/>
            <w:vAlign w:val="bottom"/>
            <w:hideMark/>
          </w:tcPr>
          <w:p w14:paraId="0193EDE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Kotak Emerging Equity Fund - Regular - Growth</w:t>
            </w:r>
          </w:p>
        </w:tc>
        <w:tc>
          <w:tcPr>
            <w:tcW w:w="1062" w:type="dxa"/>
            <w:tcBorders>
              <w:top w:val="nil"/>
              <w:left w:val="nil"/>
              <w:bottom w:val="nil"/>
              <w:right w:val="nil"/>
            </w:tcBorders>
            <w:noWrap/>
            <w:vAlign w:val="bottom"/>
            <w:hideMark/>
          </w:tcPr>
          <w:p w14:paraId="2319B66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7</w:t>
            </w:r>
          </w:p>
        </w:tc>
        <w:tc>
          <w:tcPr>
            <w:tcW w:w="897" w:type="dxa"/>
            <w:tcBorders>
              <w:top w:val="nil"/>
              <w:left w:val="nil"/>
              <w:bottom w:val="nil"/>
              <w:right w:val="nil"/>
            </w:tcBorders>
            <w:noWrap/>
            <w:vAlign w:val="bottom"/>
            <w:hideMark/>
          </w:tcPr>
          <w:p w14:paraId="2C77ED0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FCC254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74.875</w:t>
            </w:r>
          </w:p>
        </w:tc>
        <w:tc>
          <w:tcPr>
            <w:tcW w:w="858" w:type="dxa"/>
            <w:tcBorders>
              <w:top w:val="nil"/>
              <w:left w:val="nil"/>
              <w:bottom w:val="nil"/>
              <w:right w:val="nil"/>
            </w:tcBorders>
            <w:noWrap/>
            <w:vAlign w:val="bottom"/>
            <w:hideMark/>
          </w:tcPr>
          <w:p w14:paraId="25BFECA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0.077542</w:t>
            </w:r>
          </w:p>
        </w:tc>
        <w:tc>
          <w:tcPr>
            <w:tcW w:w="812" w:type="dxa"/>
            <w:tcBorders>
              <w:top w:val="nil"/>
              <w:left w:val="nil"/>
              <w:bottom w:val="nil"/>
              <w:right w:val="nil"/>
            </w:tcBorders>
            <w:noWrap/>
            <w:vAlign w:val="bottom"/>
            <w:hideMark/>
          </w:tcPr>
          <w:p w14:paraId="4EE7880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0.076</w:t>
            </w:r>
          </w:p>
        </w:tc>
        <w:tc>
          <w:tcPr>
            <w:tcW w:w="812" w:type="dxa"/>
            <w:tcBorders>
              <w:top w:val="nil"/>
              <w:left w:val="nil"/>
              <w:bottom w:val="nil"/>
              <w:right w:val="nil"/>
            </w:tcBorders>
            <w:noWrap/>
            <w:vAlign w:val="bottom"/>
            <w:hideMark/>
          </w:tcPr>
          <w:p w14:paraId="235AF25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0.078044</w:t>
            </w:r>
          </w:p>
        </w:tc>
        <w:tc>
          <w:tcPr>
            <w:tcW w:w="1152" w:type="dxa"/>
            <w:tcBorders>
              <w:top w:val="nil"/>
              <w:left w:val="nil"/>
              <w:bottom w:val="nil"/>
              <w:right w:val="nil"/>
            </w:tcBorders>
            <w:noWrap/>
            <w:vAlign w:val="bottom"/>
            <w:hideMark/>
          </w:tcPr>
          <w:p w14:paraId="7310AC3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1.56</w:t>
            </w:r>
          </w:p>
        </w:tc>
        <w:tc>
          <w:tcPr>
            <w:tcW w:w="1269" w:type="dxa"/>
            <w:tcBorders>
              <w:top w:val="nil"/>
              <w:left w:val="nil"/>
              <w:bottom w:val="nil"/>
              <w:right w:val="nil"/>
            </w:tcBorders>
            <w:noWrap/>
            <w:vAlign w:val="bottom"/>
            <w:hideMark/>
          </w:tcPr>
          <w:p w14:paraId="61AB3F9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-0.24004</w:t>
            </w:r>
          </w:p>
        </w:tc>
      </w:tr>
      <w:tr w:rsidR="00876A3C" w:rsidRPr="00876A3C" w14:paraId="7D4916A4" w14:textId="77777777" w:rsidTr="00876A3C">
        <w:trPr>
          <w:trHeight w:val="288"/>
        </w:trPr>
        <w:tc>
          <w:tcPr>
            <w:tcW w:w="1641" w:type="dxa"/>
            <w:tcBorders>
              <w:top w:val="nil"/>
              <w:left w:val="nil"/>
              <w:bottom w:val="nil"/>
              <w:right w:val="nil"/>
            </w:tcBorders>
            <w:noWrap/>
            <w:vAlign w:val="bottom"/>
            <w:hideMark/>
          </w:tcPr>
          <w:p w14:paraId="68359985"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HDFC Short Term Debt Fund - Regular - Growth</w:t>
            </w:r>
          </w:p>
        </w:tc>
        <w:tc>
          <w:tcPr>
            <w:tcW w:w="1062" w:type="dxa"/>
            <w:tcBorders>
              <w:top w:val="nil"/>
              <w:left w:val="nil"/>
              <w:bottom w:val="nil"/>
              <w:right w:val="nil"/>
            </w:tcBorders>
            <w:noWrap/>
            <w:vAlign w:val="bottom"/>
            <w:hideMark/>
          </w:tcPr>
          <w:p w14:paraId="6B4F74A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8</w:t>
            </w:r>
          </w:p>
        </w:tc>
        <w:tc>
          <w:tcPr>
            <w:tcW w:w="897" w:type="dxa"/>
            <w:tcBorders>
              <w:top w:val="nil"/>
              <w:left w:val="nil"/>
              <w:bottom w:val="nil"/>
              <w:right w:val="nil"/>
            </w:tcBorders>
            <w:noWrap/>
            <w:vAlign w:val="bottom"/>
            <w:hideMark/>
          </w:tcPr>
          <w:p w14:paraId="623C4799"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Debt</w:t>
            </w:r>
          </w:p>
        </w:tc>
        <w:tc>
          <w:tcPr>
            <w:tcW w:w="857" w:type="dxa"/>
            <w:tcBorders>
              <w:top w:val="nil"/>
              <w:left w:val="nil"/>
              <w:bottom w:val="nil"/>
              <w:right w:val="nil"/>
            </w:tcBorders>
            <w:noWrap/>
            <w:vAlign w:val="bottom"/>
            <w:hideMark/>
          </w:tcPr>
          <w:p w14:paraId="3D93935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70.625</w:t>
            </w:r>
          </w:p>
        </w:tc>
        <w:tc>
          <w:tcPr>
            <w:tcW w:w="858" w:type="dxa"/>
            <w:tcBorders>
              <w:top w:val="nil"/>
              <w:left w:val="nil"/>
              <w:bottom w:val="nil"/>
              <w:right w:val="nil"/>
            </w:tcBorders>
            <w:noWrap/>
            <w:vAlign w:val="bottom"/>
            <w:hideMark/>
          </w:tcPr>
          <w:p w14:paraId="6187895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0.039155</w:t>
            </w:r>
          </w:p>
        </w:tc>
        <w:tc>
          <w:tcPr>
            <w:tcW w:w="812" w:type="dxa"/>
            <w:tcBorders>
              <w:top w:val="nil"/>
              <w:left w:val="nil"/>
              <w:bottom w:val="nil"/>
              <w:right w:val="nil"/>
            </w:tcBorders>
            <w:noWrap/>
            <w:vAlign w:val="bottom"/>
            <w:hideMark/>
          </w:tcPr>
          <w:p w14:paraId="27AD365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-0.56709</w:t>
            </w:r>
          </w:p>
        </w:tc>
        <w:tc>
          <w:tcPr>
            <w:tcW w:w="812" w:type="dxa"/>
            <w:tcBorders>
              <w:top w:val="nil"/>
              <w:left w:val="nil"/>
              <w:bottom w:val="nil"/>
              <w:right w:val="nil"/>
            </w:tcBorders>
            <w:noWrap/>
            <w:vAlign w:val="bottom"/>
            <w:hideMark/>
          </w:tcPr>
          <w:p w14:paraId="3B0B3A2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0.042818</w:t>
            </w:r>
          </w:p>
        </w:tc>
        <w:tc>
          <w:tcPr>
            <w:tcW w:w="1152" w:type="dxa"/>
            <w:tcBorders>
              <w:top w:val="nil"/>
              <w:left w:val="nil"/>
              <w:bottom w:val="nil"/>
              <w:right w:val="nil"/>
            </w:tcBorders>
            <w:noWrap/>
            <w:vAlign w:val="bottom"/>
            <w:hideMark/>
          </w:tcPr>
          <w:p w14:paraId="38C2654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0.56</w:t>
            </w:r>
          </w:p>
        </w:tc>
        <w:tc>
          <w:tcPr>
            <w:tcW w:w="1269" w:type="dxa"/>
            <w:tcBorders>
              <w:top w:val="nil"/>
              <w:left w:val="nil"/>
              <w:bottom w:val="nil"/>
              <w:right w:val="nil"/>
            </w:tcBorders>
            <w:noWrap/>
            <w:vAlign w:val="bottom"/>
            <w:hideMark/>
          </w:tcPr>
          <w:p w14:paraId="14B4F5D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-0.04308</w:t>
            </w:r>
          </w:p>
        </w:tc>
      </w:tr>
      <w:tr w:rsidR="00876A3C" w:rsidRPr="00876A3C" w14:paraId="6F21824D" w14:textId="77777777" w:rsidTr="00876A3C">
        <w:trPr>
          <w:trHeight w:val="288"/>
        </w:trPr>
        <w:tc>
          <w:tcPr>
            <w:tcW w:w="1641" w:type="dxa"/>
            <w:tcBorders>
              <w:top w:val="nil"/>
              <w:left w:val="nil"/>
              <w:bottom w:val="nil"/>
              <w:right w:val="nil"/>
            </w:tcBorders>
            <w:noWrap/>
            <w:vAlign w:val="bottom"/>
            <w:hideMark/>
          </w:tcPr>
          <w:p w14:paraId="77F69F57"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ABSL Liquid Fund - Regular - Growth</w:t>
            </w:r>
          </w:p>
        </w:tc>
        <w:tc>
          <w:tcPr>
            <w:tcW w:w="1062" w:type="dxa"/>
            <w:tcBorders>
              <w:top w:val="nil"/>
              <w:left w:val="nil"/>
              <w:bottom w:val="nil"/>
              <w:right w:val="nil"/>
            </w:tcBorders>
            <w:noWrap/>
            <w:vAlign w:val="bottom"/>
            <w:hideMark/>
          </w:tcPr>
          <w:p w14:paraId="4B4BBFE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9</w:t>
            </w:r>
          </w:p>
        </w:tc>
        <w:tc>
          <w:tcPr>
            <w:tcW w:w="897" w:type="dxa"/>
            <w:tcBorders>
              <w:top w:val="nil"/>
              <w:left w:val="nil"/>
              <w:bottom w:val="nil"/>
              <w:right w:val="nil"/>
            </w:tcBorders>
            <w:noWrap/>
            <w:vAlign w:val="bottom"/>
            <w:hideMark/>
          </w:tcPr>
          <w:p w14:paraId="340E893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Debt</w:t>
            </w:r>
          </w:p>
        </w:tc>
        <w:tc>
          <w:tcPr>
            <w:tcW w:w="857" w:type="dxa"/>
            <w:tcBorders>
              <w:top w:val="nil"/>
              <w:left w:val="nil"/>
              <w:bottom w:val="nil"/>
              <w:right w:val="nil"/>
            </w:tcBorders>
            <w:noWrap/>
            <w:vAlign w:val="bottom"/>
            <w:hideMark/>
          </w:tcPr>
          <w:p w14:paraId="2CB1E91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69.625</w:t>
            </w:r>
          </w:p>
        </w:tc>
        <w:tc>
          <w:tcPr>
            <w:tcW w:w="858" w:type="dxa"/>
            <w:tcBorders>
              <w:top w:val="nil"/>
              <w:left w:val="nil"/>
              <w:bottom w:val="nil"/>
              <w:right w:val="nil"/>
            </w:tcBorders>
            <w:noWrap/>
            <w:vAlign w:val="bottom"/>
            <w:hideMark/>
          </w:tcPr>
          <w:p w14:paraId="40477AA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0.063143</w:t>
            </w:r>
          </w:p>
        </w:tc>
        <w:tc>
          <w:tcPr>
            <w:tcW w:w="812" w:type="dxa"/>
            <w:tcBorders>
              <w:top w:val="nil"/>
              <w:left w:val="nil"/>
              <w:bottom w:val="nil"/>
              <w:right w:val="nil"/>
            </w:tcBorders>
            <w:noWrap/>
            <w:vAlign w:val="bottom"/>
            <w:hideMark/>
          </w:tcPr>
          <w:p w14:paraId="1139696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-0.81557</w:t>
            </w:r>
          </w:p>
        </w:tc>
        <w:tc>
          <w:tcPr>
            <w:tcW w:w="812" w:type="dxa"/>
            <w:tcBorders>
              <w:top w:val="nil"/>
              <w:left w:val="nil"/>
              <w:bottom w:val="nil"/>
              <w:right w:val="nil"/>
            </w:tcBorders>
            <w:noWrap/>
            <w:vAlign w:val="bottom"/>
            <w:hideMark/>
          </w:tcPr>
          <w:p w14:paraId="628E781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0.060861</w:t>
            </w:r>
          </w:p>
        </w:tc>
        <w:tc>
          <w:tcPr>
            <w:tcW w:w="1152" w:type="dxa"/>
            <w:tcBorders>
              <w:top w:val="nil"/>
              <w:left w:val="nil"/>
              <w:bottom w:val="nil"/>
              <w:right w:val="nil"/>
            </w:tcBorders>
            <w:noWrap/>
            <w:vAlign w:val="bottom"/>
            <w:hideMark/>
          </w:tcPr>
          <w:p w14:paraId="0EA260C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0.79</w:t>
            </w:r>
          </w:p>
        </w:tc>
        <w:tc>
          <w:tcPr>
            <w:tcW w:w="1269" w:type="dxa"/>
            <w:tcBorders>
              <w:top w:val="nil"/>
              <w:left w:val="nil"/>
              <w:bottom w:val="nil"/>
              <w:right w:val="nil"/>
            </w:tcBorders>
            <w:noWrap/>
            <w:vAlign w:val="bottom"/>
            <w:hideMark/>
          </w:tcPr>
          <w:p w14:paraId="06686CC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-0.00162</w:t>
            </w:r>
          </w:p>
        </w:tc>
      </w:tr>
      <w:tr w:rsidR="00876A3C" w:rsidRPr="00876A3C" w14:paraId="5DFBDC2F" w14:textId="77777777" w:rsidTr="00876A3C">
        <w:trPr>
          <w:trHeight w:val="288"/>
        </w:trPr>
        <w:tc>
          <w:tcPr>
            <w:tcW w:w="1641" w:type="dxa"/>
            <w:tcBorders>
              <w:top w:val="nil"/>
              <w:left w:val="nil"/>
              <w:bottom w:val="nil"/>
              <w:right w:val="nil"/>
            </w:tcBorders>
            <w:noWrap/>
            <w:vAlign w:val="bottom"/>
            <w:hideMark/>
          </w:tcPr>
          <w:p w14:paraId="7390C1C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SBI Magnum Gilt Fund - Regular Plan - Growth</w:t>
            </w:r>
          </w:p>
        </w:tc>
        <w:tc>
          <w:tcPr>
            <w:tcW w:w="1062" w:type="dxa"/>
            <w:tcBorders>
              <w:top w:val="nil"/>
              <w:left w:val="nil"/>
              <w:bottom w:val="nil"/>
              <w:right w:val="nil"/>
            </w:tcBorders>
            <w:noWrap/>
            <w:vAlign w:val="bottom"/>
            <w:hideMark/>
          </w:tcPr>
          <w:p w14:paraId="1366C83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10</w:t>
            </w:r>
          </w:p>
        </w:tc>
        <w:tc>
          <w:tcPr>
            <w:tcW w:w="897" w:type="dxa"/>
            <w:tcBorders>
              <w:top w:val="nil"/>
              <w:left w:val="nil"/>
              <w:bottom w:val="nil"/>
              <w:right w:val="nil"/>
            </w:tcBorders>
            <w:noWrap/>
            <w:vAlign w:val="bottom"/>
            <w:hideMark/>
          </w:tcPr>
          <w:p w14:paraId="691C70A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Debt</w:t>
            </w:r>
          </w:p>
        </w:tc>
        <w:tc>
          <w:tcPr>
            <w:tcW w:w="857" w:type="dxa"/>
            <w:tcBorders>
              <w:top w:val="nil"/>
              <w:left w:val="nil"/>
              <w:bottom w:val="nil"/>
              <w:right w:val="nil"/>
            </w:tcBorders>
            <w:noWrap/>
            <w:vAlign w:val="bottom"/>
            <w:hideMark/>
          </w:tcPr>
          <w:p w14:paraId="031A7BC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68.75</w:t>
            </w:r>
          </w:p>
        </w:tc>
        <w:tc>
          <w:tcPr>
            <w:tcW w:w="858" w:type="dxa"/>
            <w:tcBorders>
              <w:top w:val="nil"/>
              <w:left w:val="nil"/>
              <w:bottom w:val="nil"/>
              <w:right w:val="nil"/>
            </w:tcBorders>
            <w:noWrap/>
            <w:vAlign w:val="bottom"/>
            <w:hideMark/>
          </w:tcPr>
          <w:p w14:paraId="2A0A60B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0.05839</w:t>
            </w:r>
          </w:p>
        </w:tc>
        <w:tc>
          <w:tcPr>
            <w:tcW w:w="812" w:type="dxa"/>
            <w:tcBorders>
              <w:top w:val="nil"/>
              <w:left w:val="nil"/>
              <w:bottom w:val="nil"/>
              <w:right w:val="nil"/>
            </w:tcBorders>
            <w:noWrap/>
            <w:vAlign w:val="bottom"/>
            <w:hideMark/>
          </w:tcPr>
          <w:p w14:paraId="6B2D693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-0.22658</w:t>
            </w:r>
          </w:p>
        </w:tc>
        <w:tc>
          <w:tcPr>
            <w:tcW w:w="812" w:type="dxa"/>
            <w:tcBorders>
              <w:top w:val="nil"/>
              <w:left w:val="nil"/>
              <w:bottom w:val="nil"/>
              <w:right w:val="nil"/>
            </w:tcBorders>
            <w:noWrap/>
            <w:vAlign w:val="bottom"/>
            <w:hideMark/>
          </w:tcPr>
          <w:p w14:paraId="482AECF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0.056209</w:t>
            </w:r>
          </w:p>
        </w:tc>
        <w:tc>
          <w:tcPr>
            <w:tcW w:w="1152" w:type="dxa"/>
            <w:tcBorders>
              <w:top w:val="nil"/>
              <w:left w:val="nil"/>
              <w:bottom w:val="nil"/>
              <w:right w:val="nil"/>
            </w:tcBorders>
            <w:noWrap/>
            <w:vAlign w:val="bottom"/>
            <w:hideMark/>
          </w:tcPr>
          <w:p w14:paraId="31D2061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0.77</w:t>
            </w:r>
          </w:p>
        </w:tc>
        <w:tc>
          <w:tcPr>
            <w:tcW w:w="1269" w:type="dxa"/>
            <w:tcBorders>
              <w:top w:val="nil"/>
              <w:left w:val="nil"/>
              <w:bottom w:val="nil"/>
              <w:right w:val="nil"/>
            </w:tcBorders>
            <w:noWrap/>
            <w:vAlign w:val="bottom"/>
            <w:hideMark/>
          </w:tcPr>
          <w:p w14:paraId="613F8C7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-0.04329</w:t>
            </w:r>
          </w:p>
        </w:tc>
      </w:tr>
      <w:tr w:rsidR="00876A3C" w:rsidRPr="00876A3C" w14:paraId="0851C2AB" w14:textId="77777777" w:rsidTr="00876A3C">
        <w:trPr>
          <w:trHeight w:val="288"/>
        </w:trPr>
        <w:tc>
          <w:tcPr>
            <w:tcW w:w="1641" w:type="dxa"/>
            <w:tcBorders>
              <w:top w:val="nil"/>
              <w:left w:val="nil"/>
              <w:bottom w:val="nil"/>
              <w:right w:val="nil"/>
            </w:tcBorders>
            <w:noWrap/>
            <w:vAlign w:val="bottom"/>
            <w:hideMark/>
          </w:tcPr>
          <w:p w14:paraId="223AF10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lastRenderedPageBreak/>
              <w:t>Nippon India Gilt Securities Fund - Regular - Growth</w:t>
            </w:r>
          </w:p>
        </w:tc>
        <w:tc>
          <w:tcPr>
            <w:tcW w:w="1062" w:type="dxa"/>
            <w:tcBorders>
              <w:top w:val="nil"/>
              <w:left w:val="nil"/>
              <w:bottom w:val="nil"/>
              <w:right w:val="nil"/>
            </w:tcBorders>
            <w:noWrap/>
            <w:vAlign w:val="bottom"/>
            <w:hideMark/>
          </w:tcPr>
          <w:p w14:paraId="4A3E9B3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11</w:t>
            </w:r>
          </w:p>
        </w:tc>
        <w:tc>
          <w:tcPr>
            <w:tcW w:w="897" w:type="dxa"/>
            <w:tcBorders>
              <w:top w:val="nil"/>
              <w:left w:val="nil"/>
              <w:bottom w:val="nil"/>
              <w:right w:val="nil"/>
            </w:tcBorders>
            <w:noWrap/>
            <w:vAlign w:val="bottom"/>
            <w:hideMark/>
          </w:tcPr>
          <w:p w14:paraId="5ED4C9B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Debt</w:t>
            </w:r>
          </w:p>
        </w:tc>
        <w:tc>
          <w:tcPr>
            <w:tcW w:w="857" w:type="dxa"/>
            <w:tcBorders>
              <w:top w:val="nil"/>
              <w:left w:val="nil"/>
              <w:bottom w:val="nil"/>
              <w:right w:val="nil"/>
            </w:tcBorders>
            <w:noWrap/>
            <w:vAlign w:val="bottom"/>
            <w:hideMark/>
          </w:tcPr>
          <w:p w14:paraId="244A872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67.875</w:t>
            </w:r>
          </w:p>
        </w:tc>
        <w:tc>
          <w:tcPr>
            <w:tcW w:w="858" w:type="dxa"/>
            <w:tcBorders>
              <w:top w:val="nil"/>
              <w:left w:val="nil"/>
              <w:bottom w:val="nil"/>
              <w:right w:val="nil"/>
            </w:tcBorders>
            <w:noWrap/>
            <w:vAlign w:val="bottom"/>
            <w:hideMark/>
          </w:tcPr>
          <w:p w14:paraId="5A2FED0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0.040613</w:t>
            </w:r>
          </w:p>
        </w:tc>
        <w:tc>
          <w:tcPr>
            <w:tcW w:w="812" w:type="dxa"/>
            <w:tcBorders>
              <w:top w:val="nil"/>
              <w:left w:val="nil"/>
              <w:bottom w:val="nil"/>
              <w:right w:val="nil"/>
            </w:tcBorders>
            <w:noWrap/>
            <w:vAlign w:val="bottom"/>
            <w:hideMark/>
          </w:tcPr>
          <w:p w14:paraId="7BA5547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-0.35663</w:t>
            </w:r>
          </w:p>
        </w:tc>
        <w:tc>
          <w:tcPr>
            <w:tcW w:w="812" w:type="dxa"/>
            <w:tcBorders>
              <w:top w:val="nil"/>
              <w:left w:val="nil"/>
              <w:bottom w:val="nil"/>
              <w:right w:val="nil"/>
            </w:tcBorders>
            <w:noWrap/>
            <w:vAlign w:val="bottom"/>
            <w:hideMark/>
          </w:tcPr>
          <w:p w14:paraId="10A7915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0.050748</w:t>
            </w:r>
          </w:p>
        </w:tc>
        <w:tc>
          <w:tcPr>
            <w:tcW w:w="1152" w:type="dxa"/>
            <w:tcBorders>
              <w:top w:val="nil"/>
              <w:left w:val="nil"/>
              <w:bottom w:val="nil"/>
              <w:right w:val="nil"/>
            </w:tcBorders>
            <w:noWrap/>
            <w:vAlign w:val="bottom"/>
            <w:hideMark/>
          </w:tcPr>
          <w:p w14:paraId="07804EC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0.55</w:t>
            </w:r>
          </w:p>
        </w:tc>
        <w:tc>
          <w:tcPr>
            <w:tcW w:w="1269" w:type="dxa"/>
            <w:tcBorders>
              <w:top w:val="nil"/>
              <w:left w:val="nil"/>
              <w:bottom w:val="nil"/>
              <w:right w:val="nil"/>
            </w:tcBorders>
            <w:noWrap/>
            <w:vAlign w:val="bottom"/>
            <w:hideMark/>
          </w:tcPr>
          <w:p w14:paraId="605A6E9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-0.08316</w:t>
            </w:r>
          </w:p>
        </w:tc>
      </w:tr>
      <w:tr w:rsidR="00876A3C" w:rsidRPr="00876A3C" w14:paraId="09881979" w14:textId="77777777" w:rsidTr="00876A3C">
        <w:trPr>
          <w:trHeight w:val="288"/>
        </w:trPr>
        <w:tc>
          <w:tcPr>
            <w:tcW w:w="1641" w:type="dxa"/>
            <w:tcBorders>
              <w:top w:val="nil"/>
              <w:left w:val="nil"/>
              <w:bottom w:val="nil"/>
              <w:right w:val="nil"/>
            </w:tcBorders>
            <w:noWrap/>
            <w:vAlign w:val="bottom"/>
            <w:hideMark/>
          </w:tcPr>
          <w:p w14:paraId="43A5E0DA"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Nippon India Small Cap Fund - Regular - Growth</w:t>
            </w:r>
          </w:p>
        </w:tc>
        <w:tc>
          <w:tcPr>
            <w:tcW w:w="1062" w:type="dxa"/>
            <w:tcBorders>
              <w:top w:val="nil"/>
              <w:left w:val="nil"/>
              <w:bottom w:val="nil"/>
              <w:right w:val="nil"/>
            </w:tcBorders>
            <w:noWrap/>
            <w:vAlign w:val="bottom"/>
            <w:hideMark/>
          </w:tcPr>
          <w:p w14:paraId="4DAFF70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12</w:t>
            </w:r>
          </w:p>
        </w:tc>
        <w:tc>
          <w:tcPr>
            <w:tcW w:w="897" w:type="dxa"/>
            <w:tcBorders>
              <w:top w:val="nil"/>
              <w:left w:val="nil"/>
              <w:bottom w:val="nil"/>
              <w:right w:val="nil"/>
            </w:tcBorders>
            <w:noWrap/>
            <w:vAlign w:val="bottom"/>
            <w:hideMark/>
          </w:tcPr>
          <w:p w14:paraId="72A43CE7"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21C14BB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64.1875</w:t>
            </w:r>
          </w:p>
        </w:tc>
        <w:tc>
          <w:tcPr>
            <w:tcW w:w="858" w:type="dxa"/>
            <w:tcBorders>
              <w:top w:val="nil"/>
              <w:left w:val="nil"/>
              <w:bottom w:val="nil"/>
              <w:right w:val="nil"/>
            </w:tcBorders>
            <w:noWrap/>
            <w:vAlign w:val="bottom"/>
            <w:hideMark/>
          </w:tcPr>
          <w:p w14:paraId="0F81ED8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0.08006</w:t>
            </w:r>
          </w:p>
        </w:tc>
        <w:tc>
          <w:tcPr>
            <w:tcW w:w="812" w:type="dxa"/>
            <w:tcBorders>
              <w:top w:val="nil"/>
              <w:left w:val="nil"/>
              <w:bottom w:val="nil"/>
              <w:right w:val="nil"/>
            </w:tcBorders>
            <w:noWrap/>
            <w:vAlign w:val="bottom"/>
            <w:hideMark/>
          </w:tcPr>
          <w:p w14:paraId="0681B27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0.448434</w:t>
            </w:r>
          </w:p>
        </w:tc>
        <w:tc>
          <w:tcPr>
            <w:tcW w:w="812" w:type="dxa"/>
            <w:tcBorders>
              <w:top w:val="nil"/>
              <w:left w:val="nil"/>
              <w:bottom w:val="nil"/>
              <w:right w:val="nil"/>
            </w:tcBorders>
            <w:noWrap/>
            <w:vAlign w:val="bottom"/>
            <w:hideMark/>
          </w:tcPr>
          <w:p w14:paraId="38A8BDC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0.175007</w:t>
            </w:r>
          </w:p>
        </w:tc>
        <w:tc>
          <w:tcPr>
            <w:tcW w:w="1152" w:type="dxa"/>
            <w:tcBorders>
              <w:top w:val="nil"/>
              <w:left w:val="nil"/>
              <w:bottom w:val="nil"/>
              <w:right w:val="nil"/>
            </w:tcBorders>
            <w:noWrap/>
            <w:vAlign w:val="bottom"/>
            <w:hideMark/>
          </w:tcPr>
          <w:p w14:paraId="3C852B6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1.53</w:t>
            </w:r>
          </w:p>
        </w:tc>
        <w:tc>
          <w:tcPr>
            <w:tcW w:w="1269" w:type="dxa"/>
            <w:tcBorders>
              <w:top w:val="nil"/>
              <w:left w:val="nil"/>
              <w:bottom w:val="nil"/>
              <w:right w:val="nil"/>
            </w:tcBorders>
            <w:noWrap/>
            <w:vAlign w:val="bottom"/>
            <w:hideMark/>
          </w:tcPr>
          <w:p w14:paraId="5BDEB30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-0.23345</w:t>
            </w:r>
          </w:p>
        </w:tc>
      </w:tr>
      <w:tr w:rsidR="00876A3C" w:rsidRPr="00876A3C" w14:paraId="2571DADF" w14:textId="77777777" w:rsidTr="00876A3C">
        <w:trPr>
          <w:trHeight w:val="288"/>
        </w:trPr>
        <w:tc>
          <w:tcPr>
            <w:tcW w:w="1641" w:type="dxa"/>
            <w:tcBorders>
              <w:top w:val="nil"/>
              <w:left w:val="nil"/>
              <w:bottom w:val="nil"/>
              <w:right w:val="nil"/>
            </w:tcBorders>
            <w:noWrap/>
            <w:vAlign w:val="bottom"/>
            <w:hideMark/>
          </w:tcPr>
          <w:p w14:paraId="4545F453"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Kotak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Regular - Growth</w:t>
            </w:r>
          </w:p>
        </w:tc>
        <w:tc>
          <w:tcPr>
            <w:tcW w:w="1062" w:type="dxa"/>
            <w:tcBorders>
              <w:top w:val="nil"/>
              <w:left w:val="nil"/>
              <w:bottom w:val="nil"/>
              <w:right w:val="nil"/>
            </w:tcBorders>
            <w:noWrap/>
            <w:vAlign w:val="bottom"/>
            <w:hideMark/>
          </w:tcPr>
          <w:p w14:paraId="27BAE4E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13</w:t>
            </w:r>
          </w:p>
        </w:tc>
        <w:tc>
          <w:tcPr>
            <w:tcW w:w="897" w:type="dxa"/>
            <w:tcBorders>
              <w:top w:val="nil"/>
              <w:left w:val="nil"/>
              <w:bottom w:val="nil"/>
              <w:right w:val="nil"/>
            </w:tcBorders>
            <w:noWrap/>
            <w:vAlign w:val="bottom"/>
            <w:hideMark/>
          </w:tcPr>
          <w:p w14:paraId="47ED2A98"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7087E28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63.125</w:t>
            </w:r>
          </w:p>
        </w:tc>
        <w:tc>
          <w:tcPr>
            <w:tcW w:w="858" w:type="dxa"/>
            <w:tcBorders>
              <w:top w:val="nil"/>
              <w:left w:val="nil"/>
              <w:bottom w:val="nil"/>
              <w:right w:val="nil"/>
            </w:tcBorders>
            <w:noWrap/>
            <w:vAlign w:val="bottom"/>
            <w:hideMark/>
          </w:tcPr>
          <w:p w14:paraId="280A690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0.17263</w:t>
            </w:r>
          </w:p>
        </w:tc>
        <w:tc>
          <w:tcPr>
            <w:tcW w:w="812" w:type="dxa"/>
            <w:tcBorders>
              <w:top w:val="nil"/>
              <w:left w:val="nil"/>
              <w:bottom w:val="nil"/>
              <w:right w:val="nil"/>
            </w:tcBorders>
            <w:noWrap/>
            <w:vAlign w:val="bottom"/>
            <w:hideMark/>
          </w:tcPr>
          <w:p w14:paraId="326C017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0.494273</w:t>
            </w:r>
          </w:p>
        </w:tc>
        <w:tc>
          <w:tcPr>
            <w:tcW w:w="812" w:type="dxa"/>
            <w:tcBorders>
              <w:top w:val="nil"/>
              <w:left w:val="nil"/>
              <w:bottom w:val="nil"/>
              <w:right w:val="nil"/>
            </w:tcBorders>
            <w:noWrap/>
            <w:vAlign w:val="bottom"/>
            <w:hideMark/>
          </w:tcPr>
          <w:p w14:paraId="7482115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0.130429</w:t>
            </w:r>
          </w:p>
        </w:tc>
        <w:tc>
          <w:tcPr>
            <w:tcW w:w="1152" w:type="dxa"/>
            <w:tcBorders>
              <w:top w:val="nil"/>
              <w:left w:val="nil"/>
              <w:bottom w:val="nil"/>
              <w:right w:val="nil"/>
            </w:tcBorders>
            <w:noWrap/>
            <w:vAlign w:val="bottom"/>
            <w:hideMark/>
          </w:tcPr>
          <w:p w14:paraId="3CE03D4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1.59</w:t>
            </w:r>
          </w:p>
        </w:tc>
        <w:tc>
          <w:tcPr>
            <w:tcW w:w="1269" w:type="dxa"/>
            <w:tcBorders>
              <w:top w:val="nil"/>
              <w:left w:val="nil"/>
              <w:bottom w:val="nil"/>
              <w:right w:val="nil"/>
            </w:tcBorders>
            <w:noWrap/>
            <w:vAlign w:val="bottom"/>
            <w:hideMark/>
          </w:tcPr>
          <w:p w14:paraId="019AA9D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-0.17574</w:t>
            </w:r>
          </w:p>
        </w:tc>
      </w:tr>
      <w:tr w:rsidR="00876A3C" w:rsidRPr="00876A3C" w14:paraId="67F52B3C" w14:textId="77777777" w:rsidTr="00876A3C">
        <w:trPr>
          <w:trHeight w:val="288"/>
        </w:trPr>
        <w:tc>
          <w:tcPr>
            <w:tcW w:w="1641" w:type="dxa"/>
            <w:tcBorders>
              <w:top w:val="nil"/>
              <w:left w:val="nil"/>
              <w:bottom w:val="nil"/>
              <w:right w:val="nil"/>
            </w:tcBorders>
            <w:noWrap/>
            <w:vAlign w:val="bottom"/>
            <w:hideMark/>
          </w:tcPr>
          <w:p w14:paraId="1BE660FA"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Kotak Liquid Fund - Regular - Growth</w:t>
            </w:r>
          </w:p>
        </w:tc>
        <w:tc>
          <w:tcPr>
            <w:tcW w:w="1062" w:type="dxa"/>
            <w:tcBorders>
              <w:top w:val="nil"/>
              <w:left w:val="nil"/>
              <w:bottom w:val="nil"/>
              <w:right w:val="nil"/>
            </w:tcBorders>
            <w:noWrap/>
            <w:vAlign w:val="bottom"/>
            <w:hideMark/>
          </w:tcPr>
          <w:p w14:paraId="70230C2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w:t>
            </w:r>
          </w:p>
        </w:tc>
        <w:tc>
          <w:tcPr>
            <w:tcW w:w="897" w:type="dxa"/>
            <w:tcBorders>
              <w:top w:val="nil"/>
              <w:left w:val="nil"/>
              <w:bottom w:val="nil"/>
              <w:right w:val="nil"/>
            </w:tcBorders>
            <w:noWrap/>
            <w:vAlign w:val="bottom"/>
            <w:hideMark/>
          </w:tcPr>
          <w:p w14:paraId="0B95441E"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Debt</w:t>
            </w:r>
          </w:p>
        </w:tc>
        <w:tc>
          <w:tcPr>
            <w:tcW w:w="857" w:type="dxa"/>
            <w:tcBorders>
              <w:top w:val="nil"/>
              <w:left w:val="nil"/>
              <w:bottom w:val="nil"/>
              <w:right w:val="nil"/>
            </w:tcBorders>
            <w:noWrap/>
            <w:vAlign w:val="bottom"/>
            <w:hideMark/>
          </w:tcPr>
          <w:p w14:paraId="7862E0F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61.375</w:t>
            </w:r>
          </w:p>
        </w:tc>
        <w:tc>
          <w:tcPr>
            <w:tcW w:w="858" w:type="dxa"/>
            <w:tcBorders>
              <w:top w:val="nil"/>
              <w:left w:val="nil"/>
              <w:bottom w:val="nil"/>
              <w:right w:val="nil"/>
            </w:tcBorders>
            <w:noWrap/>
            <w:vAlign w:val="bottom"/>
            <w:hideMark/>
          </w:tcPr>
          <w:p w14:paraId="045DCBD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0.066944</w:t>
            </w:r>
          </w:p>
        </w:tc>
        <w:tc>
          <w:tcPr>
            <w:tcW w:w="812" w:type="dxa"/>
            <w:tcBorders>
              <w:top w:val="nil"/>
              <w:left w:val="nil"/>
              <w:bottom w:val="nil"/>
              <w:right w:val="nil"/>
            </w:tcBorders>
            <w:noWrap/>
            <w:vAlign w:val="bottom"/>
            <w:hideMark/>
          </w:tcPr>
          <w:p w14:paraId="1D62864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-0.08875</w:t>
            </w:r>
          </w:p>
        </w:tc>
        <w:tc>
          <w:tcPr>
            <w:tcW w:w="812" w:type="dxa"/>
            <w:tcBorders>
              <w:top w:val="nil"/>
              <w:left w:val="nil"/>
              <w:bottom w:val="nil"/>
              <w:right w:val="nil"/>
            </w:tcBorders>
            <w:noWrap/>
            <w:vAlign w:val="bottom"/>
            <w:hideMark/>
          </w:tcPr>
          <w:p w14:paraId="67C5EC9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0.064557</w:t>
            </w:r>
          </w:p>
        </w:tc>
        <w:tc>
          <w:tcPr>
            <w:tcW w:w="1152" w:type="dxa"/>
            <w:tcBorders>
              <w:top w:val="nil"/>
              <w:left w:val="nil"/>
              <w:bottom w:val="nil"/>
              <w:right w:val="nil"/>
            </w:tcBorders>
            <w:noWrap/>
            <w:vAlign w:val="bottom"/>
            <w:hideMark/>
          </w:tcPr>
          <w:p w14:paraId="2F13444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0.6</w:t>
            </w:r>
          </w:p>
        </w:tc>
        <w:tc>
          <w:tcPr>
            <w:tcW w:w="1269" w:type="dxa"/>
            <w:tcBorders>
              <w:top w:val="nil"/>
              <w:left w:val="nil"/>
              <w:bottom w:val="nil"/>
              <w:right w:val="nil"/>
            </w:tcBorders>
            <w:noWrap/>
            <w:vAlign w:val="bottom"/>
            <w:hideMark/>
          </w:tcPr>
          <w:p w14:paraId="112F8B0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-0.00116</w:t>
            </w:r>
          </w:p>
        </w:tc>
      </w:tr>
      <w:tr w:rsidR="00876A3C" w:rsidRPr="00876A3C" w14:paraId="5C12F923" w14:textId="77777777" w:rsidTr="00876A3C">
        <w:trPr>
          <w:trHeight w:val="288"/>
        </w:trPr>
        <w:tc>
          <w:tcPr>
            <w:tcW w:w="1641" w:type="dxa"/>
            <w:tcBorders>
              <w:top w:val="nil"/>
              <w:left w:val="nil"/>
              <w:bottom w:val="nil"/>
              <w:right w:val="nil"/>
            </w:tcBorders>
            <w:noWrap/>
            <w:vAlign w:val="bottom"/>
            <w:hideMark/>
          </w:tcPr>
          <w:p w14:paraId="438896A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HDFC Mid-Cap Opportunities Fund - Direct - Growth</w:t>
            </w:r>
          </w:p>
        </w:tc>
        <w:tc>
          <w:tcPr>
            <w:tcW w:w="1062" w:type="dxa"/>
            <w:tcBorders>
              <w:top w:val="nil"/>
              <w:left w:val="nil"/>
              <w:bottom w:val="nil"/>
              <w:right w:val="nil"/>
            </w:tcBorders>
            <w:noWrap/>
            <w:vAlign w:val="bottom"/>
            <w:hideMark/>
          </w:tcPr>
          <w:p w14:paraId="6A0785A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w:t>
            </w:r>
          </w:p>
        </w:tc>
        <w:tc>
          <w:tcPr>
            <w:tcW w:w="897" w:type="dxa"/>
            <w:tcBorders>
              <w:top w:val="nil"/>
              <w:left w:val="nil"/>
              <w:bottom w:val="nil"/>
              <w:right w:val="nil"/>
            </w:tcBorders>
            <w:noWrap/>
            <w:vAlign w:val="bottom"/>
            <w:hideMark/>
          </w:tcPr>
          <w:p w14:paraId="3D9FA92B"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3129AB5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60.375</w:t>
            </w:r>
          </w:p>
        </w:tc>
        <w:tc>
          <w:tcPr>
            <w:tcW w:w="858" w:type="dxa"/>
            <w:tcBorders>
              <w:top w:val="nil"/>
              <w:left w:val="nil"/>
              <w:bottom w:val="nil"/>
              <w:right w:val="nil"/>
            </w:tcBorders>
            <w:noWrap/>
            <w:vAlign w:val="bottom"/>
            <w:hideMark/>
          </w:tcPr>
          <w:p w14:paraId="269FF95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0.112425</w:t>
            </w:r>
          </w:p>
        </w:tc>
        <w:tc>
          <w:tcPr>
            <w:tcW w:w="812" w:type="dxa"/>
            <w:tcBorders>
              <w:top w:val="nil"/>
              <w:left w:val="nil"/>
              <w:bottom w:val="nil"/>
              <w:right w:val="nil"/>
            </w:tcBorders>
            <w:noWrap/>
            <w:vAlign w:val="bottom"/>
            <w:hideMark/>
          </w:tcPr>
          <w:p w14:paraId="622D16F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0.300612</w:t>
            </w:r>
          </w:p>
        </w:tc>
        <w:tc>
          <w:tcPr>
            <w:tcW w:w="812" w:type="dxa"/>
            <w:tcBorders>
              <w:top w:val="nil"/>
              <w:left w:val="nil"/>
              <w:bottom w:val="nil"/>
              <w:right w:val="nil"/>
            </w:tcBorders>
            <w:noWrap/>
            <w:vAlign w:val="bottom"/>
            <w:hideMark/>
          </w:tcPr>
          <w:p w14:paraId="76D6901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0.119891</w:t>
            </w:r>
          </w:p>
        </w:tc>
        <w:tc>
          <w:tcPr>
            <w:tcW w:w="1152" w:type="dxa"/>
            <w:tcBorders>
              <w:top w:val="nil"/>
              <w:left w:val="nil"/>
              <w:bottom w:val="nil"/>
              <w:right w:val="nil"/>
            </w:tcBorders>
            <w:noWrap/>
            <w:vAlign w:val="bottom"/>
            <w:hideMark/>
          </w:tcPr>
          <w:p w14:paraId="2063A3F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0.78</w:t>
            </w:r>
          </w:p>
        </w:tc>
        <w:tc>
          <w:tcPr>
            <w:tcW w:w="1269" w:type="dxa"/>
            <w:tcBorders>
              <w:top w:val="nil"/>
              <w:left w:val="nil"/>
              <w:bottom w:val="nil"/>
              <w:right w:val="nil"/>
            </w:tcBorders>
            <w:noWrap/>
            <w:vAlign w:val="bottom"/>
            <w:hideMark/>
          </w:tcPr>
          <w:p w14:paraId="299534A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-0.21117</w:t>
            </w:r>
          </w:p>
        </w:tc>
      </w:tr>
      <w:tr w:rsidR="00876A3C" w:rsidRPr="00876A3C" w14:paraId="53D16274" w14:textId="77777777" w:rsidTr="00876A3C">
        <w:trPr>
          <w:trHeight w:val="288"/>
        </w:trPr>
        <w:tc>
          <w:tcPr>
            <w:tcW w:w="1641" w:type="dxa"/>
            <w:tcBorders>
              <w:top w:val="nil"/>
              <w:left w:val="nil"/>
              <w:bottom w:val="nil"/>
              <w:right w:val="nil"/>
            </w:tcBorders>
            <w:noWrap/>
            <w:vAlign w:val="bottom"/>
            <w:hideMark/>
          </w:tcPr>
          <w:p w14:paraId="5EEC8C34"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DSP Top 100 Equity Fund - Regular - Growth</w:t>
            </w:r>
          </w:p>
        </w:tc>
        <w:tc>
          <w:tcPr>
            <w:tcW w:w="1062" w:type="dxa"/>
            <w:tcBorders>
              <w:top w:val="nil"/>
              <w:left w:val="nil"/>
              <w:bottom w:val="nil"/>
              <w:right w:val="nil"/>
            </w:tcBorders>
            <w:noWrap/>
            <w:vAlign w:val="bottom"/>
            <w:hideMark/>
          </w:tcPr>
          <w:p w14:paraId="33CB949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w:t>
            </w:r>
          </w:p>
        </w:tc>
        <w:tc>
          <w:tcPr>
            <w:tcW w:w="897" w:type="dxa"/>
            <w:tcBorders>
              <w:top w:val="nil"/>
              <w:left w:val="nil"/>
              <w:bottom w:val="nil"/>
              <w:right w:val="nil"/>
            </w:tcBorders>
            <w:noWrap/>
            <w:vAlign w:val="bottom"/>
            <w:hideMark/>
          </w:tcPr>
          <w:p w14:paraId="2410155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180F4BB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58.8125</w:t>
            </w:r>
          </w:p>
        </w:tc>
        <w:tc>
          <w:tcPr>
            <w:tcW w:w="858" w:type="dxa"/>
            <w:tcBorders>
              <w:top w:val="nil"/>
              <w:left w:val="nil"/>
              <w:bottom w:val="nil"/>
              <w:right w:val="nil"/>
            </w:tcBorders>
            <w:noWrap/>
            <w:vAlign w:val="bottom"/>
            <w:hideMark/>
          </w:tcPr>
          <w:p w14:paraId="1DD8DCF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0.180397</w:t>
            </w:r>
          </w:p>
        </w:tc>
        <w:tc>
          <w:tcPr>
            <w:tcW w:w="812" w:type="dxa"/>
            <w:tcBorders>
              <w:top w:val="nil"/>
              <w:left w:val="nil"/>
              <w:bottom w:val="nil"/>
              <w:right w:val="nil"/>
            </w:tcBorders>
            <w:noWrap/>
            <w:vAlign w:val="bottom"/>
            <w:hideMark/>
          </w:tcPr>
          <w:p w14:paraId="23A2952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0.464037</w:t>
            </w:r>
          </w:p>
        </w:tc>
        <w:tc>
          <w:tcPr>
            <w:tcW w:w="812" w:type="dxa"/>
            <w:tcBorders>
              <w:top w:val="nil"/>
              <w:left w:val="nil"/>
              <w:bottom w:val="nil"/>
              <w:right w:val="nil"/>
            </w:tcBorders>
            <w:noWrap/>
            <w:vAlign w:val="bottom"/>
            <w:hideMark/>
          </w:tcPr>
          <w:p w14:paraId="2F40B8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0.131732</w:t>
            </w:r>
          </w:p>
        </w:tc>
        <w:tc>
          <w:tcPr>
            <w:tcW w:w="1152" w:type="dxa"/>
            <w:tcBorders>
              <w:top w:val="nil"/>
              <w:left w:val="nil"/>
              <w:bottom w:val="nil"/>
              <w:right w:val="nil"/>
            </w:tcBorders>
            <w:noWrap/>
            <w:vAlign w:val="bottom"/>
            <w:hideMark/>
          </w:tcPr>
          <w:p w14:paraId="60EC737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1.54</w:t>
            </w:r>
          </w:p>
        </w:tc>
        <w:tc>
          <w:tcPr>
            <w:tcW w:w="1269" w:type="dxa"/>
            <w:tcBorders>
              <w:top w:val="nil"/>
              <w:left w:val="nil"/>
              <w:bottom w:val="nil"/>
              <w:right w:val="nil"/>
            </w:tcBorders>
            <w:noWrap/>
            <w:vAlign w:val="bottom"/>
            <w:hideMark/>
          </w:tcPr>
          <w:p w14:paraId="6A15725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-0.14845</w:t>
            </w:r>
          </w:p>
        </w:tc>
      </w:tr>
      <w:tr w:rsidR="00876A3C" w:rsidRPr="00876A3C" w14:paraId="07E64467" w14:textId="77777777" w:rsidTr="00876A3C">
        <w:trPr>
          <w:trHeight w:val="288"/>
        </w:trPr>
        <w:tc>
          <w:tcPr>
            <w:tcW w:w="1641" w:type="dxa"/>
            <w:tcBorders>
              <w:top w:val="nil"/>
              <w:left w:val="nil"/>
              <w:bottom w:val="nil"/>
              <w:right w:val="nil"/>
            </w:tcBorders>
            <w:noWrap/>
            <w:vAlign w:val="bottom"/>
            <w:hideMark/>
          </w:tcPr>
          <w:p w14:paraId="22BAE1F8"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UTI Flexi Cap Fund - Regular - Growth</w:t>
            </w:r>
          </w:p>
        </w:tc>
        <w:tc>
          <w:tcPr>
            <w:tcW w:w="1062" w:type="dxa"/>
            <w:tcBorders>
              <w:top w:val="nil"/>
              <w:left w:val="nil"/>
              <w:bottom w:val="nil"/>
              <w:right w:val="nil"/>
            </w:tcBorders>
            <w:noWrap/>
            <w:vAlign w:val="bottom"/>
            <w:hideMark/>
          </w:tcPr>
          <w:p w14:paraId="767BBB2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17</w:t>
            </w:r>
          </w:p>
        </w:tc>
        <w:tc>
          <w:tcPr>
            <w:tcW w:w="897" w:type="dxa"/>
            <w:tcBorders>
              <w:top w:val="nil"/>
              <w:left w:val="nil"/>
              <w:bottom w:val="nil"/>
              <w:right w:val="nil"/>
            </w:tcBorders>
            <w:noWrap/>
            <w:vAlign w:val="bottom"/>
            <w:hideMark/>
          </w:tcPr>
          <w:p w14:paraId="03C80C75"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2C92A20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56.3125</w:t>
            </w:r>
          </w:p>
        </w:tc>
        <w:tc>
          <w:tcPr>
            <w:tcW w:w="858" w:type="dxa"/>
            <w:tcBorders>
              <w:top w:val="nil"/>
              <w:left w:val="nil"/>
              <w:bottom w:val="nil"/>
              <w:right w:val="nil"/>
            </w:tcBorders>
            <w:noWrap/>
            <w:vAlign w:val="bottom"/>
            <w:hideMark/>
          </w:tcPr>
          <w:p w14:paraId="105E788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0.255497</w:t>
            </w:r>
          </w:p>
        </w:tc>
        <w:tc>
          <w:tcPr>
            <w:tcW w:w="812" w:type="dxa"/>
            <w:tcBorders>
              <w:top w:val="nil"/>
              <w:left w:val="nil"/>
              <w:bottom w:val="nil"/>
              <w:right w:val="nil"/>
            </w:tcBorders>
            <w:noWrap/>
            <w:vAlign w:val="bottom"/>
            <w:hideMark/>
          </w:tcPr>
          <w:p w14:paraId="13429D4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0.619518</w:t>
            </w:r>
          </w:p>
        </w:tc>
        <w:tc>
          <w:tcPr>
            <w:tcW w:w="812" w:type="dxa"/>
            <w:tcBorders>
              <w:top w:val="nil"/>
              <w:left w:val="nil"/>
              <w:bottom w:val="nil"/>
              <w:right w:val="nil"/>
            </w:tcBorders>
            <w:noWrap/>
            <w:vAlign w:val="bottom"/>
            <w:hideMark/>
          </w:tcPr>
          <w:p w14:paraId="7D9946A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0.162113</w:t>
            </w:r>
          </w:p>
        </w:tc>
        <w:tc>
          <w:tcPr>
            <w:tcW w:w="1152" w:type="dxa"/>
            <w:tcBorders>
              <w:top w:val="nil"/>
              <w:left w:val="nil"/>
              <w:bottom w:val="nil"/>
              <w:right w:val="nil"/>
            </w:tcBorders>
            <w:noWrap/>
            <w:vAlign w:val="bottom"/>
            <w:hideMark/>
          </w:tcPr>
          <w:p w14:paraId="7C391B0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1.64</w:t>
            </w:r>
          </w:p>
        </w:tc>
        <w:tc>
          <w:tcPr>
            <w:tcW w:w="1269" w:type="dxa"/>
            <w:tcBorders>
              <w:top w:val="nil"/>
              <w:left w:val="nil"/>
              <w:bottom w:val="nil"/>
              <w:right w:val="nil"/>
            </w:tcBorders>
            <w:noWrap/>
            <w:vAlign w:val="bottom"/>
            <w:hideMark/>
          </w:tcPr>
          <w:p w14:paraId="35D001E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-0.2154</w:t>
            </w:r>
          </w:p>
        </w:tc>
      </w:tr>
      <w:tr w:rsidR="00876A3C" w:rsidRPr="00876A3C" w14:paraId="6CE7BF8E" w14:textId="77777777" w:rsidTr="00876A3C">
        <w:trPr>
          <w:trHeight w:val="288"/>
        </w:trPr>
        <w:tc>
          <w:tcPr>
            <w:tcW w:w="1641" w:type="dxa"/>
            <w:tcBorders>
              <w:top w:val="nil"/>
              <w:left w:val="nil"/>
              <w:bottom w:val="nil"/>
              <w:right w:val="nil"/>
            </w:tcBorders>
            <w:noWrap/>
            <w:vAlign w:val="bottom"/>
            <w:hideMark/>
          </w:tcPr>
          <w:p w14:paraId="27DAE774"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Axis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Direct - Growth</w:t>
            </w:r>
          </w:p>
        </w:tc>
        <w:tc>
          <w:tcPr>
            <w:tcW w:w="1062" w:type="dxa"/>
            <w:tcBorders>
              <w:top w:val="nil"/>
              <w:left w:val="nil"/>
              <w:bottom w:val="nil"/>
              <w:right w:val="nil"/>
            </w:tcBorders>
            <w:noWrap/>
            <w:vAlign w:val="bottom"/>
            <w:hideMark/>
          </w:tcPr>
          <w:p w14:paraId="13EE244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18</w:t>
            </w:r>
          </w:p>
        </w:tc>
        <w:tc>
          <w:tcPr>
            <w:tcW w:w="897" w:type="dxa"/>
            <w:tcBorders>
              <w:top w:val="nil"/>
              <w:left w:val="nil"/>
              <w:bottom w:val="nil"/>
              <w:right w:val="nil"/>
            </w:tcBorders>
            <w:noWrap/>
            <w:vAlign w:val="bottom"/>
            <w:hideMark/>
          </w:tcPr>
          <w:p w14:paraId="31F2C183"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48F692E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54.875</w:t>
            </w:r>
          </w:p>
        </w:tc>
        <w:tc>
          <w:tcPr>
            <w:tcW w:w="858" w:type="dxa"/>
            <w:tcBorders>
              <w:top w:val="nil"/>
              <w:left w:val="nil"/>
              <w:bottom w:val="nil"/>
              <w:right w:val="nil"/>
            </w:tcBorders>
            <w:noWrap/>
            <w:vAlign w:val="bottom"/>
            <w:hideMark/>
          </w:tcPr>
          <w:p w14:paraId="366DCF3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0.208116</w:t>
            </w:r>
          </w:p>
        </w:tc>
        <w:tc>
          <w:tcPr>
            <w:tcW w:w="812" w:type="dxa"/>
            <w:tcBorders>
              <w:top w:val="nil"/>
              <w:left w:val="nil"/>
              <w:bottom w:val="nil"/>
              <w:right w:val="nil"/>
            </w:tcBorders>
            <w:noWrap/>
            <w:vAlign w:val="bottom"/>
            <w:hideMark/>
          </w:tcPr>
          <w:p w14:paraId="2DB2D5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0.129614</w:t>
            </w:r>
          </w:p>
        </w:tc>
        <w:tc>
          <w:tcPr>
            <w:tcW w:w="812" w:type="dxa"/>
            <w:tcBorders>
              <w:top w:val="nil"/>
              <w:left w:val="nil"/>
              <w:bottom w:val="nil"/>
              <w:right w:val="nil"/>
            </w:tcBorders>
            <w:noWrap/>
            <w:vAlign w:val="bottom"/>
            <w:hideMark/>
          </w:tcPr>
          <w:p w14:paraId="40AEF6B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0.082328</w:t>
            </w:r>
          </w:p>
        </w:tc>
        <w:tc>
          <w:tcPr>
            <w:tcW w:w="1152" w:type="dxa"/>
            <w:tcBorders>
              <w:top w:val="nil"/>
              <w:left w:val="nil"/>
              <w:bottom w:val="nil"/>
              <w:right w:val="nil"/>
            </w:tcBorders>
            <w:noWrap/>
            <w:vAlign w:val="bottom"/>
            <w:hideMark/>
          </w:tcPr>
          <w:p w14:paraId="133CC13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0.75</w:t>
            </w:r>
          </w:p>
        </w:tc>
        <w:tc>
          <w:tcPr>
            <w:tcW w:w="1269" w:type="dxa"/>
            <w:tcBorders>
              <w:top w:val="nil"/>
              <w:left w:val="nil"/>
              <w:bottom w:val="nil"/>
              <w:right w:val="nil"/>
            </w:tcBorders>
            <w:noWrap/>
            <w:vAlign w:val="bottom"/>
            <w:hideMark/>
          </w:tcPr>
          <w:p w14:paraId="1CCC83C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-0.21751</w:t>
            </w:r>
          </w:p>
        </w:tc>
      </w:tr>
      <w:tr w:rsidR="00876A3C" w:rsidRPr="00876A3C" w14:paraId="799FAECB" w14:textId="77777777" w:rsidTr="00876A3C">
        <w:trPr>
          <w:trHeight w:val="288"/>
        </w:trPr>
        <w:tc>
          <w:tcPr>
            <w:tcW w:w="1641" w:type="dxa"/>
            <w:tcBorders>
              <w:top w:val="nil"/>
              <w:left w:val="nil"/>
              <w:bottom w:val="nil"/>
              <w:right w:val="nil"/>
            </w:tcBorders>
            <w:noWrap/>
            <w:vAlign w:val="bottom"/>
            <w:hideMark/>
          </w:tcPr>
          <w:p w14:paraId="11ACA41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ICICI Pru Liquid Fund - Regular - Growth</w:t>
            </w:r>
          </w:p>
        </w:tc>
        <w:tc>
          <w:tcPr>
            <w:tcW w:w="1062" w:type="dxa"/>
            <w:tcBorders>
              <w:top w:val="nil"/>
              <w:left w:val="nil"/>
              <w:bottom w:val="nil"/>
              <w:right w:val="nil"/>
            </w:tcBorders>
            <w:noWrap/>
            <w:vAlign w:val="bottom"/>
            <w:hideMark/>
          </w:tcPr>
          <w:p w14:paraId="272104B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19</w:t>
            </w:r>
          </w:p>
        </w:tc>
        <w:tc>
          <w:tcPr>
            <w:tcW w:w="897" w:type="dxa"/>
            <w:tcBorders>
              <w:top w:val="nil"/>
              <w:left w:val="nil"/>
              <w:bottom w:val="nil"/>
              <w:right w:val="nil"/>
            </w:tcBorders>
            <w:noWrap/>
            <w:vAlign w:val="bottom"/>
            <w:hideMark/>
          </w:tcPr>
          <w:p w14:paraId="38BEB6F3"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Debt</w:t>
            </w:r>
          </w:p>
        </w:tc>
        <w:tc>
          <w:tcPr>
            <w:tcW w:w="857" w:type="dxa"/>
            <w:tcBorders>
              <w:top w:val="nil"/>
              <w:left w:val="nil"/>
              <w:bottom w:val="nil"/>
              <w:right w:val="nil"/>
            </w:tcBorders>
            <w:noWrap/>
            <w:vAlign w:val="bottom"/>
            <w:hideMark/>
          </w:tcPr>
          <w:p w14:paraId="077D534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54.5</w:t>
            </w:r>
          </w:p>
        </w:tc>
        <w:tc>
          <w:tcPr>
            <w:tcW w:w="858" w:type="dxa"/>
            <w:tcBorders>
              <w:top w:val="nil"/>
              <w:left w:val="nil"/>
              <w:bottom w:val="nil"/>
              <w:right w:val="nil"/>
            </w:tcBorders>
            <w:noWrap/>
            <w:vAlign w:val="bottom"/>
            <w:hideMark/>
          </w:tcPr>
          <w:p w14:paraId="6DF0C42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0.073925</w:t>
            </w:r>
          </w:p>
        </w:tc>
        <w:tc>
          <w:tcPr>
            <w:tcW w:w="812" w:type="dxa"/>
            <w:tcBorders>
              <w:top w:val="nil"/>
              <w:left w:val="nil"/>
              <w:bottom w:val="nil"/>
              <w:right w:val="nil"/>
            </w:tcBorders>
            <w:noWrap/>
            <w:vAlign w:val="bottom"/>
            <w:hideMark/>
          </w:tcPr>
          <w:p w14:paraId="48A2D61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0.495723</w:t>
            </w:r>
          </w:p>
        </w:tc>
        <w:tc>
          <w:tcPr>
            <w:tcW w:w="812" w:type="dxa"/>
            <w:tcBorders>
              <w:top w:val="nil"/>
              <w:left w:val="nil"/>
              <w:bottom w:val="nil"/>
              <w:right w:val="nil"/>
            </w:tcBorders>
            <w:noWrap/>
            <w:vAlign w:val="bottom"/>
            <w:hideMark/>
          </w:tcPr>
          <w:p w14:paraId="29FB8E1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0.067462</w:t>
            </w:r>
          </w:p>
        </w:tc>
        <w:tc>
          <w:tcPr>
            <w:tcW w:w="1152" w:type="dxa"/>
            <w:tcBorders>
              <w:top w:val="nil"/>
              <w:left w:val="nil"/>
              <w:bottom w:val="nil"/>
              <w:right w:val="nil"/>
            </w:tcBorders>
            <w:noWrap/>
            <w:vAlign w:val="bottom"/>
            <w:hideMark/>
          </w:tcPr>
          <w:p w14:paraId="3287C80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0.74</w:t>
            </w:r>
          </w:p>
        </w:tc>
        <w:tc>
          <w:tcPr>
            <w:tcW w:w="1269" w:type="dxa"/>
            <w:tcBorders>
              <w:top w:val="nil"/>
              <w:left w:val="nil"/>
              <w:bottom w:val="nil"/>
              <w:right w:val="nil"/>
            </w:tcBorders>
            <w:noWrap/>
            <w:vAlign w:val="bottom"/>
            <w:hideMark/>
          </w:tcPr>
          <w:p w14:paraId="1E107D3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-0.00098</w:t>
            </w:r>
          </w:p>
        </w:tc>
      </w:tr>
      <w:tr w:rsidR="00876A3C" w:rsidRPr="00876A3C" w14:paraId="60A47D79" w14:textId="77777777" w:rsidTr="00876A3C">
        <w:trPr>
          <w:trHeight w:val="288"/>
        </w:trPr>
        <w:tc>
          <w:tcPr>
            <w:tcW w:w="1641" w:type="dxa"/>
            <w:tcBorders>
              <w:top w:val="nil"/>
              <w:left w:val="nil"/>
              <w:bottom w:val="nil"/>
              <w:right w:val="nil"/>
            </w:tcBorders>
            <w:noWrap/>
            <w:vAlign w:val="bottom"/>
            <w:hideMark/>
          </w:tcPr>
          <w:p w14:paraId="7E019475"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ICICI Pru Value Discovery Fund - Regular - Growth</w:t>
            </w:r>
          </w:p>
        </w:tc>
        <w:tc>
          <w:tcPr>
            <w:tcW w:w="1062" w:type="dxa"/>
            <w:tcBorders>
              <w:top w:val="nil"/>
              <w:left w:val="nil"/>
              <w:bottom w:val="nil"/>
              <w:right w:val="nil"/>
            </w:tcBorders>
            <w:noWrap/>
            <w:vAlign w:val="bottom"/>
            <w:hideMark/>
          </w:tcPr>
          <w:p w14:paraId="1DA9504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20</w:t>
            </w:r>
          </w:p>
        </w:tc>
        <w:tc>
          <w:tcPr>
            <w:tcW w:w="897" w:type="dxa"/>
            <w:tcBorders>
              <w:top w:val="nil"/>
              <w:left w:val="nil"/>
              <w:bottom w:val="nil"/>
              <w:right w:val="nil"/>
            </w:tcBorders>
            <w:noWrap/>
            <w:vAlign w:val="bottom"/>
            <w:hideMark/>
          </w:tcPr>
          <w:p w14:paraId="037A874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EA5229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51.375</w:t>
            </w:r>
          </w:p>
        </w:tc>
        <w:tc>
          <w:tcPr>
            <w:tcW w:w="858" w:type="dxa"/>
            <w:tcBorders>
              <w:top w:val="nil"/>
              <w:left w:val="nil"/>
              <w:bottom w:val="nil"/>
              <w:right w:val="nil"/>
            </w:tcBorders>
            <w:noWrap/>
            <w:vAlign w:val="bottom"/>
            <w:hideMark/>
          </w:tcPr>
          <w:p w14:paraId="702D96C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0.184174</w:t>
            </w:r>
          </w:p>
        </w:tc>
        <w:tc>
          <w:tcPr>
            <w:tcW w:w="812" w:type="dxa"/>
            <w:tcBorders>
              <w:top w:val="nil"/>
              <w:left w:val="nil"/>
              <w:bottom w:val="nil"/>
              <w:right w:val="nil"/>
            </w:tcBorders>
            <w:noWrap/>
            <w:vAlign w:val="bottom"/>
            <w:hideMark/>
          </w:tcPr>
          <w:p w14:paraId="1FFD736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0.648879</w:t>
            </w:r>
          </w:p>
        </w:tc>
        <w:tc>
          <w:tcPr>
            <w:tcW w:w="812" w:type="dxa"/>
            <w:tcBorders>
              <w:top w:val="nil"/>
              <w:left w:val="nil"/>
              <w:bottom w:val="nil"/>
              <w:right w:val="nil"/>
            </w:tcBorders>
            <w:noWrap/>
            <w:vAlign w:val="bottom"/>
            <w:hideMark/>
          </w:tcPr>
          <w:p w14:paraId="5940477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0.162539</w:t>
            </w:r>
          </w:p>
        </w:tc>
        <w:tc>
          <w:tcPr>
            <w:tcW w:w="1152" w:type="dxa"/>
            <w:tcBorders>
              <w:top w:val="nil"/>
              <w:left w:val="nil"/>
              <w:bottom w:val="nil"/>
              <w:right w:val="nil"/>
            </w:tcBorders>
            <w:noWrap/>
            <w:vAlign w:val="bottom"/>
            <w:hideMark/>
          </w:tcPr>
          <w:p w14:paraId="1201E03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1.41</w:t>
            </w:r>
          </w:p>
        </w:tc>
        <w:tc>
          <w:tcPr>
            <w:tcW w:w="1269" w:type="dxa"/>
            <w:tcBorders>
              <w:top w:val="nil"/>
              <w:left w:val="nil"/>
              <w:bottom w:val="nil"/>
              <w:right w:val="nil"/>
            </w:tcBorders>
            <w:noWrap/>
            <w:vAlign w:val="bottom"/>
            <w:hideMark/>
          </w:tcPr>
          <w:p w14:paraId="6D047FB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-0.19826</w:t>
            </w:r>
          </w:p>
        </w:tc>
      </w:tr>
      <w:tr w:rsidR="00876A3C" w:rsidRPr="00876A3C" w14:paraId="67AFDA1F" w14:textId="77777777" w:rsidTr="00876A3C">
        <w:trPr>
          <w:trHeight w:val="288"/>
        </w:trPr>
        <w:tc>
          <w:tcPr>
            <w:tcW w:w="1641" w:type="dxa"/>
            <w:tcBorders>
              <w:top w:val="nil"/>
              <w:left w:val="nil"/>
              <w:bottom w:val="nil"/>
              <w:right w:val="nil"/>
            </w:tcBorders>
            <w:noWrap/>
            <w:vAlign w:val="bottom"/>
            <w:hideMark/>
          </w:tcPr>
          <w:p w14:paraId="216E7DAD"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Mirae Asset Emerging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w:t>
            </w:r>
            <w:r w:rsidRPr="00876A3C">
              <w:rPr>
                <w:rFonts w:ascii="Calibri" w:eastAsia="Times New Roman" w:hAnsi="Calibri" w:cs="Calibri"/>
                <w:color w:val="000000"/>
                <w:kern w:val="0"/>
                <w:sz w:val="22"/>
                <w:szCs w:val="22"/>
                <w14:ligatures w14:val="none"/>
              </w:rPr>
              <w:lastRenderedPageBreak/>
              <w:t>- Regular - Growth</w:t>
            </w:r>
          </w:p>
        </w:tc>
        <w:tc>
          <w:tcPr>
            <w:tcW w:w="1062" w:type="dxa"/>
            <w:tcBorders>
              <w:top w:val="nil"/>
              <w:left w:val="nil"/>
              <w:bottom w:val="nil"/>
              <w:right w:val="nil"/>
            </w:tcBorders>
            <w:noWrap/>
            <w:vAlign w:val="bottom"/>
            <w:hideMark/>
          </w:tcPr>
          <w:p w14:paraId="26D80CD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lastRenderedPageBreak/>
              <w:t>21</w:t>
            </w:r>
          </w:p>
        </w:tc>
        <w:tc>
          <w:tcPr>
            <w:tcW w:w="897" w:type="dxa"/>
            <w:tcBorders>
              <w:top w:val="nil"/>
              <w:left w:val="nil"/>
              <w:bottom w:val="nil"/>
              <w:right w:val="nil"/>
            </w:tcBorders>
            <w:noWrap/>
            <w:vAlign w:val="bottom"/>
            <w:hideMark/>
          </w:tcPr>
          <w:p w14:paraId="4971A0B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273096E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49.0625</w:t>
            </w:r>
          </w:p>
        </w:tc>
        <w:tc>
          <w:tcPr>
            <w:tcW w:w="858" w:type="dxa"/>
            <w:tcBorders>
              <w:top w:val="nil"/>
              <w:left w:val="nil"/>
              <w:bottom w:val="nil"/>
              <w:right w:val="nil"/>
            </w:tcBorders>
            <w:noWrap/>
            <w:vAlign w:val="bottom"/>
            <w:hideMark/>
          </w:tcPr>
          <w:p w14:paraId="0E19FBC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0.147444</w:t>
            </w:r>
          </w:p>
        </w:tc>
        <w:tc>
          <w:tcPr>
            <w:tcW w:w="812" w:type="dxa"/>
            <w:tcBorders>
              <w:top w:val="nil"/>
              <w:left w:val="nil"/>
              <w:bottom w:val="nil"/>
              <w:right w:val="nil"/>
            </w:tcBorders>
            <w:noWrap/>
            <w:vAlign w:val="bottom"/>
            <w:hideMark/>
          </w:tcPr>
          <w:p w14:paraId="15DBDAC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0.926287</w:t>
            </w:r>
          </w:p>
        </w:tc>
        <w:tc>
          <w:tcPr>
            <w:tcW w:w="812" w:type="dxa"/>
            <w:tcBorders>
              <w:top w:val="nil"/>
              <w:left w:val="nil"/>
              <w:bottom w:val="nil"/>
              <w:right w:val="nil"/>
            </w:tcBorders>
            <w:noWrap/>
            <w:vAlign w:val="bottom"/>
            <w:hideMark/>
          </w:tcPr>
          <w:p w14:paraId="2E65D37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0.20873</w:t>
            </w:r>
          </w:p>
        </w:tc>
        <w:tc>
          <w:tcPr>
            <w:tcW w:w="1152" w:type="dxa"/>
            <w:tcBorders>
              <w:top w:val="nil"/>
              <w:left w:val="nil"/>
              <w:bottom w:val="nil"/>
              <w:right w:val="nil"/>
            </w:tcBorders>
            <w:noWrap/>
            <w:vAlign w:val="bottom"/>
            <w:hideMark/>
          </w:tcPr>
          <w:p w14:paraId="136DA89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1.52</w:t>
            </w:r>
          </w:p>
        </w:tc>
        <w:tc>
          <w:tcPr>
            <w:tcW w:w="1269" w:type="dxa"/>
            <w:tcBorders>
              <w:top w:val="nil"/>
              <w:left w:val="nil"/>
              <w:bottom w:val="nil"/>
              <w:right w:val="nil"/>
            </w:tcBorders>
            <w:noWrap/>
            <w:vAlign w:val="bottom"/>
            <w:hideMark/>
          </w:tcPr>
          <w:p w14:paraId="70EA4D9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-0.15273</w:t>
            </w:r>
          </w:p>
        </w:tc>
      </w:tr>
      <w:tr w:rsidR="00876A3C" w:rsidRPr="00876A3C" w14:paraId="74185558" w14:textId="77777777" w:rsidTr="00876A3C">
        <w:trPr>
          <w:trHeight w:val="288"/>
        </w:trPr>
        <w:tc>
          <w:tcPr>
            <w:tcW w:w="1641" w:type="dxa"/>
            <w:tcBorders>
              <w:top w:val="nil"/>
              <w:left w:val="nil"/>
              <w:bottom w:val="nil"/>
              <w:right w:val="nil"/>
            </w:tcBorders>
            <w:noWrap/>
            <w:vAlign w:val="bottom"/>
            <w:hideMark/>
          </w:tcPr>
          <w:p w14:paraId="604FB4B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ICICI Pru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Regular - Growth</w:t>
            </w:r>
          </w:p>
        </w:tc>
        <w:tc>
          <w:tcPr>
            <w:tcW w:w="1062" w:type="dxa"/>
            <w:tcBorders>
              <w:top w:val="nil"/>
              <w:left w:val="nil"/>
              <w:bottom w:val="nil"/>
              <w:right w:val="nil"/>
            </w:tcBorders>
            <w:noWrap/>
            <w:vAlign w:val="bottom"/>
            <w:hideMark/>
          </w:tcPr>
          <w:p w14:paraId="6CD3FDE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22</w:t>
            </w:r>
          </w:p>
        </w:tc>
        <w:tc>
          <w:tcPr>
            <w:tcW w:w="897" w:type="dxa"/>
            <w:tcBorders>
              <w:top w:val="nil"/>
              <w:left w:val="nil"/>
              <w:bottom w:val="nil"/>
              <w:right w:val="nil"/>
            </w:tcBorders>
            <w:noWrap/>
            <w:vAlign w:val="bottom"/>
            <w:hideMark/>
          </w:tcPr>
          <w:p w14:paraId="1BC0A70B"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48D50AE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48.875</w:t>
            </w:r>
          </w:p>
        </w:tc>
        <w:tc>
          <w:tcPr>
            <w:tcW w:w="858" w:type="dxa"/>
            <w:tcBorders>
              <w:top w:val="nil"/>
              <w:left w:val="nil"/>
              <w:bottom w:val="nil"/>
              <w:right w:val="nil"/>
            </w:tcBorders>
            <w:noWrap/>
            <w:vAlign w:val="bottom"/>
            <w:hideMark/>
          </w:tcPr>
          <w:p w14:paraId="30109C8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0.13975</w:t>
            </w:r>
          </w:p>
        </w:tc>
        <w:tc>
          <w:tcPr>
            <w:tcW w:w="812" w:type="dxa"/>
            <w:tcBorders>
              <w:top w:val="nil"/>
              <w:left w:val="nil"/>
              <w:bottom w:val="nil"/>
              <w:right w:val="nil"/>
            </w:tcBorders>
            <w:noWrap/>
            <w:vAlign w:val="bottom"/>
            <w:hideMark/>
          </w:tcPr>
          <w:p w14:paraId="0850F77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0.797973</w:t>
            </w:r>
          </w:p>
        </w:tc>
        <w:tc>
          <w:tcPr>
            <w:tcW w:w="812" w:type="dxa"/>
            <w:tcBorders>
              <w:top w:val="nil"/>
              <w:left w:val="nil"/>
              <w:bottom w:val="nil"/>
              <w:right w:val="nil"/>
            </w:tcBorders>
            <w:noWrap/>
            <w:vAlign w:val="bottom"/>
            <w:hideMark/>
          </w:tcPr>
          <w:p w14:paraId="2532CB6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0.177033</w:t>
            </w:r>
          </w:p>
        </w:tc>
        <w:tc>
          <w:tcPr>
            <w:tcW w:w="1152" w:type="dxa"/>
            <w:tcBorders>
              <w:top w:val="nil"/>
              <w:left w:val="nil"/>
              <w:bottom w:val="nil"/>
              <w:right w:val="nil"/>
            </w:tcBorders>
            <w:noWrap/>
            <w:vAlign w:val="bottom"/>
            <w:hideMark/>
          </w:tcPr>
          <w:p w14:paraId="28B1FE3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1.42</w:t>
            </w:r>
          </w:p>
        </w:tc>
        <w:tc>
          <w:tcPr>
            <w:tcW w:w="1269" w:type="dxa"/>
            <w:tcBorders>
              <w:top w:val="nil"/>
              <w:left w:val="nil"/>
              <w:bottom w:val="nil"/>
              <w:right w:val="nil"/>
            </w:tcBorders>
            <w:noWrap/>
            <w:vAlign w:val="bottom"/>
            <w:hideMark/>
          </w:tcPr>
          <w:p w14:paraId="4F726EF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-0.13898</w:t>
            </w:r>
          </w:p>
        </w:tc>
      </w:tr>
      <w:tr w:rsidR="00876A3C" w:rsidRPr="00876A3C" w14:paraId="7D0CA1F3" w14:textId="77777777" w:rsidTr="00876A3C">
        <w:trPr>
          <w:trHeight w:val="288"/>
        </w:trPr>
        <w:tc>
          <w:tcPr>
            <w:tcW w:w="1641" w:type="dxa"/>
            <w:tcBorders>
              <w:top w:val="nil"/>
              <w:left w:val="nil"/>
              <w:bottom w:val="nil"/>
              <w:right w:val="nil"/>
            </w:tcBorders>
            <w:noWrap/>
            <w:vAlign w:val="bottom"/>
            <w:hideMark/>
          </w:tcPr>
          <w:p w14:paraId="648EF9B7"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UTI Nifty 50 Index Fund - Regular - Growth</w:t>
            </w:r>
          </w:p>
        </w:tc>
        <w:tc>
          <w:tcPr>
            <w:tcW w:w="1062" w:type="dxa"/>
            <w:tcBorders>
              <w:top w:val="nil"/>
              <w:left w:val="nil"/>
              <w:bottom w:val="nil"/>
              <w:right w:val="nil"/>
            </w:tcBorders>
            <w:noWrap/>
            <w:vAlign w:val="bottom"/>
            <w:hideMark/>
          </w:tcPr>
          <w:p w14:paraId="5C0EDF4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23</w:t>
            </w:r>
          </w:p>
        </w:tc>
        <w:tc>
          <w:tcPr>
            <w:tcW w:w="897" w:type="dxa"/>
            <w:tcBorders>
              <w:top w:val="nil"/>
              <w:left w:val="nil"/>
              <w:bottom w:val="nil"/>
              <w:right w:val="nil"/>
            </w:tcBorders>
            <w:noWrap/>
            <w:vAlign w:val="bottom"/>
            <w:hideMark/>
          </w:tcPr>
          <w:p w14:paraId="4198CC6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1DE5B5C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47.5</w:t>
            </w:r>
          </w:p>
        </w:tc>
        <w:tc>
          <w:tcPr>
            <w:tcW w:w="858" w:type="dxa"/>
            <w:tcBorders>
              <w:top w:val="nil"/>
              <w:left w:val="nil"/>
              <w:bottom w:val="nil"/>
              <w:right w:val="nil"/>
            </w:tcBorders>
            <w:noWrap/>
            <w:vAlign w:val="bottom"/>
            <w:hideMark/>
          </w:tcPr>
          <w:p w14:paraId="107B558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0.196624</w:t>
            </w:r>
          </w:p>
        </w:tc>
        <w:tc>
          <w:tcPr>
            <w:tcW w:w="812" w:type="dxa"/>
            <w:tcBorders>
              <w:top w:val="nil"/>
              <w:left w:val="nil"/>
              <w:bottom w:val="nil"/>
              <w:right w:val="nil"/>
            </w:tcBorders>
            <w:noWrap/>
            <w:vAlign w:val="bottom"/>
            <w:hideMark/>
          </w:tcPr>
          <w:p w14:paraId="668D0BC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0.817099</w:t>
            </w:r>
          </w:p>
        </w:tc>
        <w:tc>
          <w:tcPr>
            <w:tcW w:w="812" w:type="dxa"/>
            <w:tcBorders>
              <w:top w:val="nil"/>
              <w:left w:val="nil"/>
              <w:bottom w:val="nil"/>
              <w:right w:val="nil"/>
            </w:tcBorders>
            <w:noWrap/>
            <w:vAlign w:val="bottom"/>
            <w:hideMark/>
          </w:tcPr>
          <w:p w14:paraId="4C090B0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0.170488</w:t>
            </w:r>
          </w:p>
        </w:tc>
        <w:tc>
          <w:tcPr>
            <w:tcW w:w="1152" w:type="dxa"/>
            <w:tcBorders>
              <w:top w:val="nil"/>
              <w:left w:val="nil"/>
              <w:bottom w:val="nil"/>
              <w:right w:val="nil"/>
            </w:tcBorders>
            <w:noWrap/>
            <w:vAlign w:val="bottom"/>
            <w:hideMark/>
          </w:tcPr>
          <w:p w14:paraId="11F83D6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1.57</w:t>
            </w:r>
          </w:p>
        </w:tc>
        <w:tc>
          <w:tcPr>
            <w:tcW w:w="1269" w:type="dxa"/>
            <w:tcBorders>
              <w:top w:val="nil"/>
              <w:left w:val="nil"/>
              <w:bottom w:val="nil"/>
              <w:right w:val="nil"/>
            </w:tcBorders>
            <w:noWrap/>
            <w:vAlign w:val="bottom"/>
            <w:hideMark/>
          </w:tcPr>
          <w:p w14:paraId="7B58143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-0.1086</w:t>
            </w:r>
          </w:p>
        </w:tc>
      </w:tr>
      <w:tr w:rsidR="00876A3C" w:rsidRPr="00876A3C" w14:paraId="59B40493" w14:textId="77777777" w:rsidTr="00876A3C">
        <w:trPr>
          <w:trHeight w:val="288"/>
        </w:trPr>
        <w:tc>
          <w:tcPr>
            <w:tcW w:w="1641" w:type="dxa"/>
            <w:tcBorders>
              <w:top w:val="nil"/>
              <w:left w:val="nil"/>
              <w:bottom w:val="nil"/>
              <w:right w:val="nil"/>
            </w:tcBorders>
            <w:noWrap/>
            <w:vAlign w:val="bottom"/>
            <w:hideMark/>
          </w:tcPr>
          <w:p w14:paraId="68ADDFF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Nippon India Large Cap Fund - Direct - Growth</w:t>
            </w:r>
          </w:p>
        </w:tc>
        <w:tc>
          <w:tcPr>
            <w:tcW w:w="1062" w:type="dxa"/>
            <w:tcBorders>
              <w:top w:val="nil"/>
              <w:left w:val="nil"/>
              <w:bottom w:val="nil"/>
              <w:right w:val="nil"/>
            </w:tcBorders>
            <w:noWrap/>
            <w:vAlign w:val="bottom"/>
            <w:hideMark/>
          </w:tcPr>
          <w:p w14:paraId="7176B85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24</w:t>
            </w:r>
          </w:p>
        </w:tc>
        <w:tc>
          <w:tcPr>
            <w:tcW w:w="897" w:type="dxa"/>
            <w:tcBorders>
              <w:top w:val="nil"/>
              <w:left w:val="nil"/>
              <w:bottom w:val="nil"/>
              <w:right w:val="nil"/>
            </w:tcBorders>
            <w:noWrap/>
            <w:vAlign w:val="bottom"/>
            <w:hideMark/>
          </w:tcPr>
          <w:p w14:paraId="728B9E40"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7142EEC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43.9375</w:t>
            </w:r>
          </w:p>
        </w:tc>
        <w:tc>
          <w:tcPr>
            <w:tcW w:w="858" w:type="dxa"/>
            <w:tcBorders>
              <w:top w:val="nil"/>
              <w:left w:val="nil"/>
              <w:bottom w:val="nil"/>
              <w:right w:val="nil"/>
            </w:tcBorders>
            <w:noWrap/>
            <w:vAlign w:val="bottom"/>
            <w:hideMark/>
          </w:tcPr>
          <w:p w14:paraId="2FCEB63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0.210847</w:t>
            </w:r>
          </w:p>
        </w:tc>
        <w:tc>
          <w:tcPr>
            <w:tcW w:w="812" w:type="dxa"/>
            <w:tcBorders>
              <w:top w:val="nil"/>
              <w:left w:val="nil"/>
              <w:bottom w:val="nil"/>
              <w:right w:val="nil"/>
            </w:tcBorders>
            <w:noWrap/>
            <w:vAlign w:val="bottom"/>
            <w:hideMark/>
          </w:tcPr>
          <w:p w14:paraId="2831FE5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0.645207</w:t>
            </w:r>
          </w:p>
        </w:tc>
        <w:tc>
          <w:tcPr>
            <w:tcW w:w="812" w:type="dxa"/>
            <w:tcBorders>
              <w:top w:val="nil"/>
              <w:left w:val="nil"/>
              <w:bottom w:val="nil"/>
              <w:right w:val="nil"/>
            </w:tcBorders>
            <w:noWrap/>
            <w:vAlign w:val="bottom"/>
            <w:hideMark/>
          </w:tcPr>
          <w:p w14:paraId="20F6B0E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0.156438</w:t>
            </w:r>
          </w:p>
        </w:tc>
        <w:tc>
          <w:tcPr>
            <w:tcW w:w="1152" w:type="dxa"/>
            <w:tcBorders>
              <w:top w:val="nil"/>
              <w:left w:val="nil"/>
              <w:bottom w:val="nil"/>
              <w:right w:val="nil"/>
            </w:tcBorders>
            <w:noWrap/>
            <w:vAlign w:val="bottom"/>
            <w:hideMark/>
          </w:tcPr>
          <w:p w14:paraId="32ECBC2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0.72</w:t>
            </w:r>
          </w:p>
        </w:tc>
        <w:tc>
          <w:tcPr>
            <w:tcW w:w="1269" w:type="dxa"/>
            <w:tcBorders>
              <w:top w:val="nil"/>
              <w:left w:val="nil"/>
              <w:bottom w:val="nil"/>
              <w:right w:val="nil"/>
            </w:tcBorders>
            <w:noWrap/>
            <w:vAlign w:val="bottom"/>
            <w:hideMark/>
          </w:tcPr>
          <w:p w14:paraId="3EFBB74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-0.1863</w:t>
            </w:r>
          </w:p>
        </w:tc>
      </w:tr>
      <w:tr w:rsidR="00876A3C" w:rsidRPr="00876A3C" w14:paraId="4797A47D" w14:textId="77777777" w:rsidTr="00876A3C">
        <w:trPr>
          <w:trHeight w:val="288"/>
        </w:trPr>
        <w:tc>
          <w:tcPr>
            <w:tcW w:w="1641" w:type="dxa"/>
            <w:tcBorders>
              <w:top w:val="nil"/>
              <w:left w:val="nil"/>
              <w:bottom w:val="nil"/>
              <w:right w:val="nil"/>
            </w:tcBorders>
            <w:noWrap/>
            <w:vAlign w:val="bottom"/>
            <w:hideMark/>
          </w:tcPr>
          <w:p w14:paraId="6A20620D"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Nippon India ETF Nifty 50 </w:t>
            </w:r>
            <w:proofErr w:type="spellStart"/>
            <w:r w:rsidRPr="00876A3C">
              <w:rPr>
                <w:rFonts w:ascii="Calibri" w:eastAsia="Times New Roman" w:hAnsi="Calibri" w:cs="Calibri"/>
                <w:color w:val="000000"/>
                <w:kern w:val="0"/>
                <w:sz w:val="22"/>
                <w:szCs w:val="22"/>
                <w14:ligatures w14:val="none"/>
              </w:rPr>
              <w:t>BeES</w:t>
            </w:r>
            <w:proofErr w:type="spellEnd"/>
          </w:p>
        </w:tc>
        <w:tc>
          <w:tcPr>
            <w:tcW w:w="1062" w:type="dxa"/>
            <w:tcBorders>
              <w:top w:val="nil"/>
              <w:left w:val="nil"/>
              <w:bottom w:val="nil"/>
              <w:right w:val="nil"/>
            </w:tcBorders>
            <w:noWrap/>
            <w:vAlign w:val="bottom"/>
            <w:hideMark/>
          </w:tcPr>
          <w:p w14:paraId="775E871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25</w:t>
            </w:r>
          </w:p>
        </w:tc>
        <w:tc>
          <w:tcPr>
            <w:tcW w:w="897" w:type="dxa"/>
            <w:tcBorders>
              <w:top w:val="nil"/>
              <w:left w:val="nil"/>
              <w:bottom w:val="nil"/>
              <w:right w:val="nil"/>
            </w:tcBorders>
            <w:noWrap/>
            <w:vAlign w:val="bottom"/>
            <w:hideMark/>
          </w:tcPr>
          <w:p w14:paraId="0070FBD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97AE87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43.5</w:t>
            </w:r>
          </w:p>
        </w:tc>
        <w:tc>
          <w:tcPr>
            <w:tcW w:w="858" w:type="dxa"/>
            <w:tcBorders>
              <w:top w:val="nil"/>
              <w:left w:val="nil"/>
              <w:bottom w:val="nil"/>
              <w:right w:val="nil"/>
            </w:tcBorders>
            <w:noWrap/>
            <w:vAlign w:val="bottom"/>
            <w:hideMark/>
          </w:tcPr>
          <w:p w14:paraId="4B35B46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0.200032</w:t>
            </w:r>
          </w:p>
        </w:tc>
        <w:tc>
          <w:tcPr>
            <w:tcW w:w="812" w:type="dxa"/>
            <w:tcBorders>
              <w:top w:val="nil"/>
              <w:left w:val="nil"/>
              <w:bottom w:val="nil"/>
              <w:right w:val="nil"/>
            </w:tcBorders>
            <w:noWrap/>
            <w:vAlign w:val="bottom"/>
            <w:hideMark/>
          </w:tcPr>
          <w:p w14:paraId="665723E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0.664857</w:t>
            </w:r>
          </w:p>
        </w:tc>
        <w:tc>
          <w:tcPr>
            <w:tcW w:w="812" w:type="dxa"/>
            <w:tcBorders>
              <w:top w:val="nil"/>
              <w:left w:val="nil"/>
              <w:bottom w:val="nil"/>
              <w:right w:val="nil"/>
            </w:tcBorders>
            <w:noWrap/>
            <w:vAlign w:val="bottom"/>
            <w:hideMark/>
          </w:tcPr>
          <w:p w14:paraId="380951E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0.151364</w:t>
            </w:r>
          </w:p>
        </w:tc>
        <w:tc>
          <w:tcPr>
            <w:tcW w:w="1152" w:type="dxa"/>
            <w:tcBorders>
              <w:top w:val="nil"/>
              <w:left w:val="nil"/>
              <w:bottom w:val="nil"/>
              <w:right w:val="nil"/>
            </w:tcBorders>
            <w:noWrap/>
            <w:vAlign w:val="bottom"/>
            <w:hideMark/>
          </w:tcPr>
          <w:p w14:paraId="5897BD7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0.89</w:t>
            </w:r>
          </w:p>
        </w:tc>
        <w:tc>
          <w:tcPr>
            <w:tcW w:w="1269" w:type="dxa"/>
            <w:tcBorders>
              <w:top w:val="nil"/>
              <w:left w:val="nil"/>
              <w:bottom w:val="nil"/>
              <w:right w:val="nil"/>
            </w:tcBorders>
            <w:noWrap/>
            <w:vAlign w:val="bottom"/>
            <w:hideMark/>
          </w:tcPr>
          <w:p w14:paraId="504D7BE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-0.11651</w:t>
            </w:r>
          </w:p>
        </w:tc>
      </w:tr>
      <w:tr w:rsidR="00876A3C" w:rsidRPr="00876A3C" w14:paraId="0DDA6B83" w14:textId="77777777" w:rsidTr="00876A3C">
        <w:trPr>
          <w:trHeight w:val="288"/>
        </w:trPr>
        <w:tc>
          <w:tcPr>
            <w:tcW w:w="1641" w:type="dxa"/>
            <w:tcBorders>
              <w:top w:val="nil"/>
              <w:left w:val="nil"/>
              <w:bottom w:val="nil"/>
              <w:right w:val="nil"/>
            </w:tcBorders>
            <w:noWrap/>
            <w:vAlign w:val="bottom"/>
            <w:hideMark/>
          </w:tcPr>
          <w:p w14:paraId="1F8E1924"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HDFC Top 100 Fund - Direct Plan - Growth</w:t>
            </w:r>
          </w:p>
        </w:tc>
        <w:tc>
          <w:tcPr>
            <w:tcW w:w="1062" w:type="dxa"/>
            <w:tcBorders>
              <w:top w:val="nil"/>
              <w:left w:val="nil"/>
              <w:bottom w:val="nil"/>
              <w:right w:val="nil"/>
            </w:tcBorders>
            <w:noWrap/>
            <w:vAlign w:val="bottom"/>
            <w:hideMark/>
          </w:tcPr>
          <w:p w14:paraId="296749B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26</w:t>
            </w:r>
          </w:p>
        </w:tc>
        <w:tc>
          <w:tcPr>
            <w:tcW w:w="897" w:type="dxa"/>
            <w:tcBorders>
              <w:top w:val="nil"/>
              <w:left w:val="nil"/>
              <w:bottom w:val="nil"/>
              <w:right w:val="nil"/>
            </w:tcBorders>
            <w:noWrap/>
            <w:vAlign w:val="bottom"/>
            <w:hideMark/>
          </w:tcPr>
          <w:p w14:paraId="7A8441A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3ED6AE4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43.25</w:t>
            </w:r>
          </w:p>
        </w:tc>
        <w:tc>
          <w:tcPr>
            <w:tcW w:w="858" w:type="dxa"/>
            <w:tcBorders>
              <w:top w:val="nil"/>
              <w:left w:val="nil"/>
              <w:bottom w:val="nil"/>
              <w:right w:val="nil"/>
            </w:tcBorders>
            <w:noWrap/>
            <w:vAlign w:val="bottom"/>
            <w:hideMark/>
          </w:tcPr>
          <w:p w14:paraId="4CE7DBB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0.184299</w:t>
            </w:r>
          </w:p>
        </w:tc>
        <w:tc>
          <w:tcPr>
            <w:tcW w:w="812" w:type="dxa"/>
            <w:tcBorders>
              <w:top w:val="nil"/>
              <w:left w:val="nil"/>
              <w:bottom w:val="nil"/>
              <w:right w:val="nil"/>
            </w:tcBorders>
            <w:noWrap/>
            <w:vAlign w:val="bottom"/>
            <w:hideMark/>
          </w:tcPr>
          <w:p w14:paraId="75E3D43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0.77579</w:t>
            </w:r>
          </w:p>
        </w:tc>
        <w:tc>
          <w:tcPr>
            <w:tcW w:w="812" w:type="dxa"/>
            <w:tcBorders>
              <w:top w:val="nil"/>
              <w:left w:val="nil"/>
              <w:bottom w:val="nil"/>
              <w:right w:val="nil"/>
            </w:tcBorders>
            <w:noWrap/>
            <w:vAlign w:val="bottom"/>
            <w:hideMark/>
          </w:tcPr>
          <w:p w14:paraId="4052182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0.177298</w:t>
            </w:r>
          </w:p>
        </w:tc>
        <w:tc>
          <w:tcPr>
            <w:tcW w:w="1152" w:type="dxa"/>
            <w:tcBorders>
              <w:top w:val="nil"/>
              <w:left w:val="nil"/>
              <w:bottom w:val="nil"/>
              <w:right w:val="nil"/>
            </w:tcBorders>
            <w:noWrap/>
            <w:vAlign w:val="bottom"/>
            <w:hideMark/>
          </w:tcPr>
          <w:p w14:paraId="2876657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0.92</w:t>
            </w:r>
          </w:p>
        </w:tc>
        <w:tc>
          <w:tcPr>
            <w:tcW w:w="1269" w:type="dxa"/>
            <w:tcBorders>
              <w:top w:val="nil"/>
              <w:left w:val="nil"/>
              <w:bottom w:val="nil"/>
              <w:right w:val="nil"/>
            </w:tcBorders>
            <w:noWrap/>
            <w:vAlign w:val="bottom"/>
            <w:hideMark/>
          </w:tcPr>
          <w:p w14:paraId="611F6E6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-0.152</w:t>
            </w:r>
          </w:p>
        </w:tc>
      </w:tr>
      <w:tr w:rsidR="00876A3C" w:rsidRPr="00876A3C" w14:paraId="05842B56" w14:textId="77777777" w:rsidTr="00876A3C">
        <w:trPr>
          <w:trHeight w:val="288"/>
        </w:trPr>
        <w:tc>
          <w:tcPr>
            <w:tcW w:w="1641" w:type="dxa"/>
            <w:tcBorders>
              <w:top w:val="nil"/>
              <w:left w:val="nil"/>
              <w:bottom w:val="nil"/>
              <w:right w:val="nil"/>
            </w:tcBorders>
            <w:noWrap/>
            <w:vAlign w:val="bottom"/>
            <w:hideMark/>
          </w:tcPr>
          <w:p w14:paraId="0F5B4620"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SBI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Direct Plan - Growth</w:t>
            </w:r>
          </w:p>
        </w:tc>
        <w:tc>
          <w:tcPr>
            <w:tcW w:w="1062" w:type="dxa"/>
            <w:tcBorders>
              <w:top w:val="nil"/>
              <w:left w:val="nil"/>
              <w:bottom w:val="nil"/>
              <w:right w:val="nil"/>
            </w:tcBorders>
            <w:noWrap/>
            <w:vAlign w:val="bottom"/>
            <w:hideMark/>
          </w:tcPr>
          <w:p w14:paraId="3B9E02A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27</w:t>
            </w:r>
          </w:p>
        </w:tc>
        <w:tc>
          <w:tcPr>
            <w:tcW w:w="897" w:type="dxa"/>
            <w:tcBorders>
              <w:top w:val="nil"/>
              <w:left w:val="nil"/>
              <w:bottom w:val="nil"/>
              <w:right w:val="nil"/>
            </w:tcBorders>
            <w:noWrap/>
            <w:vAlign w:val="bottom"/>
            <w:hideMark/>
          </w:tcPr>
          <w:p w14:paraId="37D9AAD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347D08C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36.5</w:t>
            </w:r>
          </w:p>
        </w:tc>
        <w:tc>
          <w:tcPr>
            <w:tcW w:w="858" w:type="dxa"/>
            <w:tcBorders>
              <w:top w:val="nil"/>
              <w:left w:val="nil"/>
              <w:bottom w:val="nil"/>
              <w:right w:val="nil"/>
            </w:tcBorders>
            <w:noWrap/>
            <w:vAlign w:val="bottom"/>
            <w:hideMark/>
          </w:tcPr>
          <w:p w14:paraId="3BC7678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0.162634</w:t>
            </w:r>
          </w:p>
        </w:tc>
        <w:tc>
          <w:tcPr>
            <w:tcW w:w="812" w:type="dxa"/>
            <w:tcBorders>
              <w:top w:val="nil"/>
              <w:left w:val="nil"/>
              <w:bottom w:val="nil"/>
              <w:right w:val="nil"/>
            </w:tcBorders>
            <w:noWrap/>
            <w:vAlign w:val="bottom"/>
            <w:hideMark/>
          </w:tcPr>
          <w:p w14:paraId="6BDAA13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0.953279</w:t>
            </w:r>
          </w:p>
        </w:tc>
        <w:tc>
          <w:tcPr>
            <w:tcW w:w="812" w:type="dxa"/>
            <w:tcBorders>
              <w:top w:val="nil"/>
              <w:left w:val="nil"/>
              <w:bottom w:val="nil"/>
              <w:right w:val="nil"/>
            </w:tcBorders>
            <w:noWrap/>
            <w:vAlign w:val="bottom"/>
            <w:hideMark/>
          </w:tcPr>
          <w:p w14:paraId="3D66D32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0.198686</w:t>
            </w:r>
          </w:p>
        </w:tc>
        <w:tc>
          <w:tcPr>
            <w:tcW w:w="1152" w:type="dxa"/>
            <w:tcBorders>
              <w:top w:val="nil"/>
              <w:left w:val="nil"/>
              <w:bottom w:val="nil"/>
              <w:right w:val="nil"/>
            </w:tcBorders>
            <w:noWrap/>
            <w:vAlign w:val="bottom"/>
            <w:hideMark/>
          </w:tcPr>
          <w:p w14:paraId="2CBE7C6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0.66</w:t>
            </w:r>
          </w:p>
        </w:tc>
        <w:tc>
          <w:tcPr>
            <w:tcW w:w="1269" w:type="dxa"/>
            <w:tcBorders>
              <w:top w:val="nil"/>
              <w:left w:val="nil"/>
              <w:bottom w:val="nil"/>
              <w:right w:val="nil"/>
            </w:tcBorders>
            <w:noWrap/>
            <w:vAlign w:val="bottom"/>
            <w:hideMark/>
          </w:tcPr>
          <w:p w14:paraId="22B7F02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-0.11803</w:t>
            </w:r>
          </w:p>
        </w:tc>
      </w:tr>
      <w:tr w:rsidR="00876A3C" w:rsidRPr="00876A3C" w14:paraId="0EDA3EB0" w14:textId="77777777" w:rsidTr="00876A3C">
        <w:trPr>
          <w:trHeight w:val="288"/>
        </w:trPr>
        <w:tc>
          <w:tcPr>
            <w:tcW w:w="1641" w:type="dxa"/>
            <w:tcBorders>
              <w:top w:val="nil"/>
              <w:left w:val="nil"/>
              <w:bottom w:val="nil"/>
              <w:right w:val="nil"/>
            </w:tcBorders>
            <w:noWrap/>
            <w:vAlign w:val="bottom"/>
            <w:hideMark/>
          </w:tcPr>
          <w:p w14:paraId="3A7F33B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Nippon India Large Cap Fund - Regular - Growth</w:t>
            </w:r>
          </w:p>
        </w:tc>
        <w:tc>
          <w:tcPr>
            <w:tcW w:w="1062" w:type="dxa"/>
            <w:tcBorders>
              <w:top w:val="nil"/>
              <w:left w:val="nil"/>
              <w:bottom w:val="nil"/>
              <w:right w:val="nil"/>
            </w:tcBorders>
            <w:noWrap/>
            <w:vAlign w:val="bottom"/>
            <w:hideMark/>
          </w:tcPr>
          <w:p w14:paraId="3CEF090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28</w:t>
            </w:r>
          </w:p>
        </w:tc>
        <w:tc>
          <w:tcPr>
            <w:tcW w:w="897" w:type="dxa"/>
            <w:tcBorders>
              <w:top w:val="nil"/>
              <w:left w:val="nil"/>
              <w:bottom w:val="nil"/>
              <w:right w:val="nil"/>
            </w:tcBorders>
            <w:noWrap/>
            <w:vAlign w:val="bottom"/>
            <w:hideMark/>
          </w:tcPr>
          <w:p w14:paraId="3939674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6A3C92B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35.9375</w:t>
            </w:r>
          </w:p>
        </w:tc>
        <w:tc>
          <w:tcPr>
            <w:tcW w:w="858" w:type="dxa"/>
            <w:tcBorders>
              <w:top w:val="nil"/>
              <w:left w:val="nil"/>
              <w:bottom w:val="nil"/>
              <w:right w:val="nil"/>
            </w:tcBorders>
            <w:noWrap/>
            <w:vAlign w:val="bottom"/>
            <w:hideMark/>
          </w:tcPr>
          <w:p w14:paraId="30D57AF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0.226466</w:t>
            </w:r>
          </w:p>
        </w:tc>
        <w:tc>
          <w:tcPr>
            <w:tcW w:w="812" w:type="dxa"/>
            <w:tcBorders>
              <w:top w:val="nil"/>
              <w:left w:val="nil"/>
              <w:bottom w:val="nil"/>
              <w:right w:val="nil"/>
            </w:tcBorders>
            <w:noWrap/>
            <w:vAlign w:val="bottom"/>
            <w:hideMark/>
          </w:tcPr>
          <w:p w14:paraId="08DAC1E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1.081659</w:t>
            </w:r>
          </w:p>
        </w:tc>
        <w:tc>
          <w:tcPr>
            <w:tcW w:w="812" w:type="dxa"/>
            <w:tcBorders>
              <w:top w:val="nil"/>
              <w:left w:val="nil"/>
              <w:bottom w:val="nil"/>
              <w:right w:val="nil"/>
            </w:tcBorders>
            <w:noWrap/>
            <w:vAlign w:val="bottom"/>
            <w:hideMark/>
          </w:tcPr>
          <w:p w14:paraId="4B4C830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0.218294</w:t>
            </w:r>
          </w:p>
        </w:tc>
        <w:tc>
          <w:tcPr>
            <w:tcW w:w="1152" w:type="dxa"/>
            <w:tcBorders>
              <w:top w:val="nil"/>
              <w:left w:val="nil"/>
              <w:bottom w:val="nil"/>
              <w:right w:val="nil"/>
            </w:tcBorders>
            <w:noWrap/>
            <w:vAlign w:val="bottom"/>
            <w:hideMark/>
          </w:tcPr>
          <w:p w14:paraId="514C209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1.51</w:t>
            </w:r>
          </w:p>
        </w:tc>
        <w:tc>
          <w:tcPr>
            <w:tcW w:w="1269" w:type="dxa"/>
            <w:tcBorders>
              <w:top w:val="nil"/>
              <w:left w:val="nil"/>
              <w:bottom w:val="nil"/>
              <w:right w:val="nil"/>
            </w:tcBorders>
            <w:noWrap/>
            <w:vAlign w:val="bottom"/>
            <w:hideMark/>
          </w:tcPr>
          <w:p w14:paraId="708A909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-0.17414</w:t>
            </w:r>
          </w:p>
        </w:tc>
      </w:tr>
      <w:tr w:rsidR="00876A3C" w:rsidRPr="00876A3C" w14:paraId="75687436" w14:textId="77777777" w:rsidTr="00876A3C">
        <w:trPr>
          <w:trHeight w:val="288"/>
        </w:trPr>
        <w:tc>
          <w:tcPr>
            <w:tcW w:w="1641" w:type="dxa"/>
            <w:tcBorders>
              <w:top w:val="nil"/>
              <w:left w:val="nil"/>
              <w:bottom w:val="nil"/>
              <w:right w:val="nil"/>
            </w:tcBorders>
            <w:noWrap/>
            <w:vAlign w:val="bottom"/>
            <w:hideMark/>
          </w:tcPr>
          <w:p w14:paraId="65A3983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DSP Small Cap Fund - Regular - Growth</w:t>
            </w:r>
          </w:p>
        </w:tc>
        <w:tc>
          <w:tcPr>
            <w:tcW w:w="1062" w:type="dxa"/>
            <w:tcBorders>
              <w:top w:val="nil"/>
              <w:left w:val="nil"/>
              <w:bottom w:val="nil"/>
              <w:right w:val="nil"/>
            </w:tcBorders>
            <w:noWrap/>
            <w:vAlign w:val="bottom"/>
            <w:hideMark/>
          </w:tcPr>
          <w:p w14:paraId="50134B4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29</w:t>
            </w:r>
          </w:p>
        </w:tc>
        <w:tc>
          <w:tcPr>
            <w:tcW w:w="897" w:type="dxa"/>
            <w:tcBorders>
              <w:top w:val="nil"/>
              <w:left w:val="nil"/>
              <w:bottom w:val="nil"/>
              <w:right w:val="nil"/>
            </w:tcBorders>
            <w:noWrap/>
            <w:vAlign w:val="bottom"/>
            <w:hideMark/>
          </w:tcPr>
          <w:p w14:paraId="0F3AA4DA"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57D3076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35.8125</w:t>
            </w:r>
          </w:p>
        </w:tc>
        <w:tc>
          <w:tcPr>
            <w:tcW w:w="858" w:type="dxa"/>
            <w:tcBorders>
              <w:top w:val="nil"/>
              <w:left w:val="nil"/>
              <w:bottom w:val="nil"/>
              <w:right w:val="nil"/>
            </w:tcBorders>
            <w:noWrap/>
            <w:vAlign w:val="bottom"/>
            <w:hideMark/>
          </w:tcPr>
          <w:p w14:paraId="55D0BE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0.269935</w:t>
            </w:r>
          </w:p>
        </w:tc>
        <w:tc>
          <w:tcPr>
            <w:tcW w:w="812" w:type="dxa"/>
            <w:tcBorders>
              <w:top w:val="nil"/>
              <w:left w:val="nil"/>
              <w:bottom w:val="nil"/>
              <w:right w:val="nil"/>
            </w:tcBorders>
            <w:noWrap/>
            <w:vAlign w:val="bottom"/>
            <w:hideMark/>
          </w:tcPr>
          <w:p w14:paraId="4422A5A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0.949796</w:t>
            </w:r>
          </w:p>
        </w:tc>
        <w:tc>
          <w:tcPr>
            <w:tcW w:w="812" w:type="dxa"/>
            <w:tcBorders>
              <w:top w:val="nil"/>
              <w:left w:val="nil"/>
              <w:bottom w:val="nil"/>
              <w:right w:val="nil"/>
            </w:tcBorders>
            <w:noWrap/>
            <w:vAlign w:val="bottom"/>
            <w:hideMark/>
          </w:tcPr>
          <w:p w14:paraId="0039212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0.300579</w:t>
            </w:r>
          </w:p>
        </w:tc>
        <w:tc>
          <w:tcPr>
            <w:tcW w:w="1152" w:type="dxa"/>
            <w:tcBorders>
              <w:top w:val="nil"/>
              <w:left w:val="nil"/>
              <w:bottom w:val="nil"/>
              <w:right w:val="nil"/>
            </w:tcBorders>
            <w:noWrap/>
            <w:vAlign w:val="bottom"/>
            <w:hideMark/>
          </w:tcPr>
          <w:p w14:paraId="2AB8AA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1.52</w:t>
            </w:r>
          </w:p>
        </w:tc>
        <w:tc>
          <w:tcPr>
            <w:tcW w:w="1269" w:type="dxa"/>
            <w:tcBorders>
              <w:top w:val="nil"/>
              <w:left w:val="nil"/>
              <w:bottom w:val="nil"/>
              <w:right w:val="nil"/>
            </w:tcBorders>
            <w:noWrap/>
            <w:vAlign w:val="bottom"/>
            <w:hideMark/>
          </w:tcPr>
          <w:p w14:paraId="096B535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-0.31172</w:t>
            </w:r>
          </w:p>
        </w:tc>
      </w:tr>
      <w:tr w:rsidR="00876A3C" w:rsidRPr="00876A3C" w14:paraId="0BC944D2" w14:textId="77777777" w:rsidTr="00876A3C">
        <w:trPr>
          <w:trHeight w:val="288"/>
        </w:trPr>
        <w:tc>
          <w:tcPr>
            <w:tcW w:w="1641" w:type="dxa"/>
            <w:tcBorders>
              <w:top w:val="nil"/>
              <w:left w:val="nil"/>
              <w:bottom w:val="nil"/>
              <w:right w:val="nil"/>
            </w:tcBorders>
            <w:noWrap/>
            <w:vAlign w:val="bottom"/>
            <w:hideMark/>
          </w:tcPr>
          <w:p w14:paraId="433F2C6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DSP Midcap Fund - Regular - Growth</w:t>
            </w:r>
          </w:p>
        </w:tc>
        <w:tc>
          <w:tcPr>
            <w:tcW w:w="1062" w:type="dxa"/>
            <w:tcBorders>
              <w:top w:val="nil"/>
              <w:left w:val="nil"/>
              <w:bottom w:val="nil"/>
              <w:right w:val="nil"/>
            </w:tcBorders>
            <w:noWrap/>
            <w:vAlign w:val="bottom"/>
            <w:hideMark/>
          </w:tcPr>
          <w:p w14:paraId="699693A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30</w:t>
            </w:r>
          </w:p>
        </w:tc>
        <w:tc>
          <w:tcPr>
            <w:tcW w:w="897" w:type="dxa"/>
            <w:tcBorders>
              <w:top w:val="nil"/>
              <w:left w:val="nil"/>
              <w:bottom w:val="nil"/>
              <w:right w:val="nil"/>
            </w:tcBorders>
            <w:noWrap/>
            <w:vAlign w:val="bottom"/>
            <w:hideMark/>
          </w:tcPr>
          <w:p w14:paraId="50AC392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7A1956D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35.75</w:t>
            </w:r>
          </w:p>
        </w:tc>
        <w:tc>
          <w:tcPr>
            <w:tcW w:w="858" w:type="dxa"/>
            <w:tcBorders>
              <w:top w:val="nil"/>
              <w:left w:val="nil"/>
              <w:bottom w:val="nil"/>
              <w:right w:val="nil"/>
            </w:tcBorders>
            <w:noWrap/>
            <w:vAlign w:val="bottom"/>
            <w:hideMark/>
          </w:tcPr>
          <w:p w14:paraId="3924A5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0.268631</w:t>
            </w:r>
          </w:p>
        </w:tc>
        <w:tc>
          <w:tcPr>
            <w:tcW w:w="812" w:type="dxa"/>
            <w:tcBorders>
              <w:top w:val="nil"/>
              <w:left w:val="nil"/>
              <w:bottom w:val="nil"/>
              <w:right w:val="nil"/>
            </w:tcBorders>
            <w:noWrap/>
            <w:vAlign w:val="bottom"/>
            <w:hideMark/>
          </w:tcPr>
          <w:p w14:paraId="4DE78F3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1.132122</w:t>
            </w:r>
          </w:p>
        </w:tc>
        <w:tc>
          <w:tcPr>
            <w:tcW w:w="812" w:type="dxa"/>
            <w:tcBorders>
              <w:top w:val="nil"/>
              <w:left w:val="nil"/>
              <w:bottom w:val="nil"/>
              <w:right w:val="nil"/>
            </w:tcBorders>
            <w:noWrap/>
            <w:vAlign w:val="bottom"/>
            <w:hideMark/>
          </w:tcPr>
          <w:p w14:paraId="476DE29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0.265986</w:t>
            </w:r>
          </w:p>
        </w:tc>
        <w:tc>
          <w:tcPr>
            <w:tcW w:w="1152" w:type="dxa"/>
            <w:tcBorders>
              <w:top w:val="nil"/>
              <w:left w:val="nil"/>
              <w:bottom w:val="nil"/>
              <w:right w:val="nil"/>
            </w:tcBorders>
            <w:noWrap/>
            <w:vAlign w:val="bottom"/>
            <w:hideMark/>
          </w:tcPr>
          <w:p w14:paraId="5D9A516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1.61</w:t>
            </w:r>
          </w:p>
        </w:tc>
        <w:tc>
          <w:tcPr>
            <w:tcW w:w="1269" w:type="dxa"/>
            <w:tcBorders>
              <w:top w:val="nil"/>
              <w:left w:val="nil"/>
              <w:bottom w:val="nil"/>
              <w:right w:val="nil"/>
            </w:tcBorders>
            <w:noWrap/>
            <w:vAlign w:val="bottom"/>
            <w:hideMark/>
          </w:tcPr>
          <w:p w14:paraId="0431F67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-0.17248</w:t>
            </w:r>
          </w:p>
        </w:tc>
      </w:tr>
      <w:tr w:rsidR="00876A3C" w:rsidRPr="00876A3C" w14:paraId="176F49AA" w14:textId="77777777" w:rsidTr="00876A3C">
        <w:trPr>
          <w:trHeight w:val="288"/>
        </w:trPr>
        <w:tc>
          <w:tcPr>
            <w:tcW w:w="1641" w:type="dxa"/>
            <w:tcBorders>
              <w:top w:val="nil"/>
              <w:left w:val="nil"/>
              <w:bottom w:val="nil"/>
              <w:right w:val="nil"/>
            </w:tcBorders>
            <w:noWrap/>
            <w:vAlign w:val="bottom"/>
            <w:hideMark/>
          </w:tcPr>
          <w:p w14:paraId="4361DCFE"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SBI Small Cap Fund - Regular Plan - Growth</w:t>
            </w:r>
          </w:p>
        </w:tc>
        <w:tc>
          <w:tcPr>
            <w:tcW w:w="1062" w:type="dxa"/>
            <w:tcBorders>
              <w:top w:val="nil"/>
              <w:left w:val="nil"/>
              <w:bottom w:val="nil"/>
              <w:right w:val="nil"/>
            </w:tcBorders>
            <w:noWrap/>
            <w:vAlign w:val="bottom"/>
            <w:hideMark/>
          </w:tcPr>
          <w:p w14:paraId="1C67D8A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31</w:t>
            </w:r>
          </w:p>
        </w:tc>
        <w:tc>
          <w:tcPr>
            <w:tcW w:w="897" w:type="dxa"/>
            <w:tcBorders>
              <w:top w:val="nil"/>
              <w:left w:val="nil"/>
              <w:bottom w:val="nil"/>
              <w:right w:val="nil"/>
            </w:tcBorders>
            <w:noWrap/>
            <w:vAlign w:val="bottom"/>
            <w:hideMark/>
          </w:tcPr>
          <w:p w14:paraId="56EFA3C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426C22E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35.125</w:t>
            </w:r>
          </w:p>
        </w:tc>
        <w:tc>
          <w:tcPr>
            <w:tcW w:w="858" w:type="dxa"/>
            <w:tcBorders>
              <w:top w:val="nil"/>
              <w:left w:val="nil"/>
              <w:bottom w:val="nil"/>
              <w:right w:val="nil"/>
            </w:tcBorders>
            <w:noWrap/>
            <w:vAlign w:val="bottom"/>
            <w:hideMark/>
          </w:tcPr>
          <w:p w14:paraId="4984B90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0.266631</w:t>
            </w:r>
          </w:p>
        </w:tc>
        <w:tc>
          <w:tcPr>
            <w:tcW w:w="812" w:type="dxa"/>
            <w:tcBorders>
              <w:top w:val="nil"/>
              <w:left w:val="nil"/>
              <w:bottom w:val="nil"/>
              <w:right w:val="nil"/>
            </w:tcBorders>
            <w:noWrap/>
            <w:vAlign w:val="bottom"/>
            <w:hideMark/>
          </w:tcPr>
          <w:p w14:paraId="03BC61E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0.945308</w:t>
            </w:r>
          </w:p>
        </w:tc>
        <w:tc>
          <w:tcPr>
            <w:tcW w:w="812" w:type="dxa"/>
            <w:tcBorders>
              <w:top w:val="nil"/>
              <w:left w:val="nil"/>
              <w:bottom w:val="nil"/>
              <w:right w:val="nil"/>
            </w:tcBorders>
            <w:noWrap/>
            <w:vAlign w:val="bottom"/>
            <w:hideMark/>
          </w:tcPr>
          <w:p w14:paraId="6D055CA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0.30337</w:t>
            </w:r>
          </w:p>
        </w:tc>
        <w:tc>
          <w:tcPr>
            <w:tcW w:w="1152" w:type="dxa"/>
            <w:tcBorders>
              <w:top w:val="nil"/>
              <w:left w:val="nil"/>
              <w:bottom w:val="nil"/>
              <w:right w:val="nil"/>
            </w:tcBorders>
            <w:noWrap/>
            <w:vAlign w:val="bottom"/>
            <w:hideMark/>
          </w:tcPr>
          <w:p w14:paraId="01C1065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1.43</w:t>
            </w:r>
          </w:p>
        </w:tc>
        <w:tc>
          <w:tcPr>
            <w:tcW w:w="1269" w:type="dxa"/>
            <w:tcBorders>
              <w:top w:val="nil"/>
              <w:left w:val="nil"/>
              <w:bottom w:val="nil"/>
              <w:right w:val="nil"/>
            </w:tcBorders>
            <w:noWrap/>
            <w:vAlign w:val="bottom"/>
            <w:hideMark/>
          </w:tcPr>
          <w:p w14:paraId="651CA83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-0.28706</w:t>
            </w:r>
          </w:p>
        </w:tc>
      </w:tr>
      <w:tr w:rsidR="00876A3C" w:rsidRPr="00876A3C" w14:paraId="27181996" w14:textId="77777777" w:rsidTr="00876A3C">
        <w:trPr>
          <w:trHeight w:val="288"/>
        </w:trPr>
        <w:tc>
          <w:tcPr>
            <w:tcW w:w="1641" w:type="dxa"/>
            <w:tcBorders>
              <w:top w:val="nil"/>
              <w:left w:val="nil"/>
              <w:bottom w:val="nil"/>
              <w:right w:val="nil"/>
            </w:tcBorders>
            <w:noWrap/>
            <w:vAlign w:val="bottom"/>
            <w:hideMark/>
          </w:tcPr>
          <w:p w14:paraId="2369C1E5"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ABSL Frontline Equity Fund - Regular - Growth</w:t>
            </w:r>
          </w:p>
        </w:tc>
        <w:tc>
          <w:tcPr>
            <w:tcW w:w="1062" w:type="dxa"/>
            <w:tcBorders>
              <w:top w:val="nil"/>
              <w:left w:val="nil"/>
              <w:bottom w:val="nil"/>
              <w:right w:val="nil"/>
            </w:tcBorders>
            <w:noWrap/>
            <w:vAlign w:val="bottom"/>
            <w:hideMark/>
          </w:tcPr>
          <w:p w14:paraId="2B403E7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32</w:t>
            </w:r>
          </w:p>
        </w:tc>
        <w:tc>
          <w:tcPr>
            <w:tcW w:w="897" w:type="dxa"/>
            <w:tcBorders>
              <w:top w:val="nil"/>
              <w:left w:val="nil"/>
              <w:bottom w:val="nil"/>
              <w:right w:val="nil"/>
            </w:tcBorders>
            <w:noWrap/>
            <w:vAlign w:val="bottom"/>
            <w:hideMark/>
          </w:tcPr>
          <w:p w14:paraId="5AA83D21"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33E112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34.3125</w:t>
            </w:r>
          </w:p>
        </w:tc>
        <w:tc>
          <w:tcPr>
            <w:tcW w:w="858" w:type="dxa"/>
            <w:tcBorders>
              <w:top w:val="nil"/>
              <w:left w:val="nil"/>
              <w:bottom w:val="nil"/>
              <w:right w:val="nil"/>
            </w:tcBorders>
            <w:noWrap/>
            <w:vAlign w:val="bottom"/>
            <w:hideMark/>
          </w:tcPr>
          <w:p w14:paraId="7F24C9C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0.289602</w:t>
            </w:r>
          </w:p>
        </w:tc>
        <w:tc>
          <w:tcPr>
            <w:tcW w:w="812" w:type="dxa"/>
            <w:tcBorders>
              <w:top w:val="nil"/>
              <w:left w:val="nil"/>
              <w:bottom w:val="nil"/>
              <w:right w:val="nil"/>
            </w:tcBorders>
            <w:noWrap/>
            <w:vAlign w:val="bottom"/>
            <w:hideMark/>
          </w:tcPr>
          <w:p w14:paraId="415EA60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1.027213</w:t>
            </w:r>
          </w:p>
        </w:tc>
        <w:tc>
          <w:tcPr>
            <w:tcW w:w="812" w:type="dxa"/>
            <w:tcBorders>
              <w:top w:val="nil"/>
              <w:left w:val="nil"/>
              <w:bottom w:val="nil"/>
              <w:right w:val="nil"/>
            </w:tcBorders>
            <w:noWrap/>
            <w:vAlign w:val="bottom"/>
            <w:hideMark/>
          </w:tcPr>
          <w:p w14:paraId="6713276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0.213998</w:t>
            </w:r>
          </w:p>
        </w:tc>
        <w:tc>
          <w:tcPr>
            <w:tcW w:w="1152" w:type="dxa"/>
            <w:tcBorders>
              <w:top w:val="nil"/>
              <w:left w:val="nil"/>
              <w:bottom w:val="nil"/>
              <w:right w:val="nil"/>
            </w:tcBorders>
            <w:noWrap/>
            <w:vAlign w:val="bottom"/>
            <w:hideMark/>
          </w:tcPr>
          <w:p w14:paraId="64DAF58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w:t>
            </w:r>
          </w:p>
        </w:tc>
        <w:tc>
          <w:tcPr>
            <w:tcW w:w="1269" w:type="dxa"/>
            <w:tcBorders>
              <w:top w:val="nil"/>
              <w:left w:val="nil"/>
              <w:bottom w:val="nil"/>
              <w:right w:val="nil"/>
            </w:tcBorders>
            <w:noWrap/>
            <w:vAlign w:val="bottom"/>
            <w:hideMark/>
          </w:tcPr>
          <w:p w14:paraId="3F0B145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-0.11292</w:t>
            </w:r>
          </w:p>
        </w:tc>
      </w:tr>
      <w:tr w:rsidR="00876A3C" w:rsidRPr="00876A3C" w14:paraId="7B171E74" w14:textId="77777777" w:rsidTr="00876A3C">
        <w:trPr>
          <w:trHeight w:val="288"/>
        </w:trPr>
        <w:tc>
          <w:tcPr>
            <w:tcW w:w="1641" w:type="dxa"/>
            <w:tcBorders>
              <w:top w:val="nil"/>
              <w:left w:val="nil"/>
              <w:bottom w:val="nil"/>
              <w:right w:val="nil"/>
            </w:tcBorders>
            <w:noWrap/>
            <w:vAlign w:val="bottom"/>
            <w:hideMark/>
          </w:tcPr>
          <w:p w14:paraId="629A4A0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Mirae Asset Tax Saver Fund - </w:t>
            </w:r>
            <w:r w:rsidRPr="00876A3C">
              <w:rPr>
                <w:rFonts w:ascii="Calibri" w:eastAsia="Times New Roman" w:hAnsi="Calibri" w:cs="Calibri"/>
                <w:color w:val="000000"/>
                <w:kern w:val="0"/>
                <w:sz w:val="22"/>
                <w:szCs w:val="22"/>
                <w14:ligatures w14:val="none"/>
              </w:rPr>
              <w:lastRenderedPageBreak/>
              <w:t>Regular - Growth</w:t>
            </w:r>
          </w:p>
        </w:tc>
        <w:tc>
          <w:tcPr>
            <w:tcW w:w="1062" w:type="dxa"/>
            <w:tcBorders>
              <w:top w:val="nil"/>
              <w:left w:val="nil"/>
              <w:bottom w:val="nil"/>
              <w:right w:val="nil"/>
            </w:tcBorders>
            <w:noWrap/>
            <w:vAlign w:val="bottom"/>
            <w:hideMark/>
          </w:tcPr>
          <w:p w14:paraId="5416299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lastRenderedPageBreak/>
              <w:t>33</w:t>
            </w:r>
          </w:p>
        </w:tc>
        <w:tc>
          <w:tcPr>
            <w:tcW w:w="897" w:type="dxa"/>
            <w:tcBorders>
              <w:top w:val="nil"/>
              <w:left w:val="nil"/>
              <w:bottom w:val="nil"/>
              <w:right w:val="nil"/>
            </w:tcBorders>
            <w:noWrap/>
            <w:vAlign w:val="bottom"/>
            <w:hideMark/>
          </w:tcPr>
          <w:p w14:paraId="71471B50"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4FEFBD8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28.8125</w:t>
            </w:r>
          </w:p>
        </w:tc>
        <w:tc>
          <w:tcPr>
            <w:tcW w:w="858" w:type="dxa"/>
            <w:tcBorders>
              <w:top w:val="nil"/>
              <w:left w:val="nil"/>
              <w:bottom w:val="nil"/>
              <w:right w:val="nil"/>
            </w:tcBorders>
            <w:noWrap/>
            <w:vAlign w:val="bottom"/>
            <w:hideMark/>
          </w:tcPr>
          <w:p w14:paraId="3B45D80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0.291714</w:t>
            </w:r>
          </w:p>
        </w:tc>
        <w:tc>
          <w:tcPr>
            <w:tcW w:w="812" w:type="dxa"/>
            <w:tcBorders>
              <w:top w:val="nil"/>
              <w:left w:val="nil"/>
              <w:bottom w:val="nil"/>
              <w:right w:val="nil"/>
            </w:tcBorders>
            <w:noWrap/>
            <w:vAlign w:val="bottom"/>
            <w:hideMark/>
          </w:tcPr>
          <w:p w14:paraId="017C658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1.23493</w:t>
            </w:r>
          </w:p>
        </w:tc>
        <w:tc>
          <w:tcPr>
            <w:tcW w:w="812" w:type="dxa"/>
            <w:tcBorders>
              <w:top w:val="nil"/>
              <w:left w:val="nil"/>
              <w:bottom w:val="nil"/>
              <w:right w:val="nil"/>
            </w:tcBorders>
            <w:noWrap/>
            <w:vAlign w:val="bottom"/>
            <w:hideMark/>
          </w:tcPr>
          <w:p w14:paraId="1C5074C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0.282704</w:t>
            </w:r>
          </w:p>
        </w:tc>
        <w:tc>
          <w:tcPr>
            <w:tcW w:w="1152" w:type="dxa"/>
            <w:tcBorders>
              <w:top w:val="nil"/>
              <w:left w:val="nil"/>
              <w:bottom w:val="nil"/>
              <w:right w:val="nil"/>
            </w:tcBorders>
            <w:noWrap/>
            <w:vAlign w:val="bottom"/>
            <w:hideMark/>
          </w:tcPr>
          <w:p w14:paraId="559C52E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w:t>
            </w:r>
          </w:p>
        </w:tc>
        <w:tc>
          <w:tcPr>
            <w:tcW w:w="1269" w:type="dxa"/>
            <w:tcBorders>
              <w:top w:val="nil"/>
              <w:left w:val="nil"/>
              <w:bottom w:val="nil"/>
              <w:right w:val="nil"/>
            </w:tcBorders>
            <w:noWrap/>
            <w:vAlign w:val="bottom"/>
            <w:hideMark/>
          </w:tcPr>
          <w:p w14:paraId="69263DA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-0.16397</w:t>
            </w:r>
          </w:p>
        </w:tc>
      </w:tr>
      <w:tr w:rsidR="00876A3C" w:rsidRPr="00876A3C" w14:paraId="79DFB08E" w14:textId="77777777" w:rsidTr="00876A3C">
        <w:trPr>
          <w:trHeight w:val="288"/>
        </w:trPr>
        <w:tc>
          <w:tcPr>
            <w:tcW w:w="1641" w:type="dxa"/>
            <w:tcBorders>
              <w:top w:val="nil"/>
              <w:left w:val="nil"/>
              <w:bottom w:val="nil"/>
              <w:right w:val="nil"/>
            </w:tcBorders>
            <w:noWrap/>
            <w:vAlign w:val="bottom"/>
            <w:hideMark/>
          </w:tcPr>
          <w:p w14:paraId="40F84798"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SBI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Regular Plan - Growth</w:t>
            </w:r>
          </w:p>
        </w:tc>
        <w:tc>
          <w:tcPr>
            <w:tcW w:w="1062" w:type="dxa"/>
            <w:tcBorders>
              <w:top w:val="nil"/>
              <w:left w:val="nil"/>
              <w:bottom w:val="nil"/>
              <w:right w:val="nil"/>
            </w:tcBorders>
            <w:noWrap/>
            <w:vAlign w:val="bottom"/>
            <w:hideMark/>
          </w:tcPr>
          <w:p w14:paraId="0FDF6B0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34</w:t>
            </w:r>
          </w:p>
        </w:tc>
        <w:tc>
          <w:tcPr>
            <w:tcW w:w="897" w:type="dxa"/>
            <w:tcBorders>
              <w:top w:val="nil"/>
              <w:left w:val="nil"/>
              <w:bottom w:val="nil"/>
              <w:right w:val="nil"/>
            </w:tcBorders>
            <w:noWrap/>
            <w:vAlign w:val="bottom"/>
            <w:hideMark/>
          </w:tcPr>
          <w:p w14:paraId="09190EEF"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215EAD2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27.6875</w:t>
            </w:r>
          </w:p>
        </w:tc>
        <w:tc>
          <w:tcPr>
            <w:tcW w:w="858" w:type="dxa"/>
            <w:tcBorders>
              <w:top w:val="nil"/>
              <w:left w:val="nil"/>
              <w:bottom w:val="nil"/>
              <w:right w:val="nil"/>
            </w:tcBorders>
            <w:noWrap/>
            <w:vAlign w:val="bottom"/>
            <w:hideMark/>
          </w:tcPr>
          <w:p w14:paraId="4826AD0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0.304486</w:t>
            </w:r>
          </w:p>
        </w:tc>
        <w:tc>
          <w:tcPr>
            <w:tcW w:w="812" w:type="dxa"/>
            <w:tcBorders>
              <w:top w:val="nil"/>
              <w:left w:val="nil"/>
              <w:bottom w:val="nil"/>
              <w:right w:val="nil"/>
            </w:tcBorders>
            <w:noWrap/>
            <w:vAlign w:val="bottom"/>
            <w:hideMark/>
          </w:tcPr>
          <w:p w14:paraId="0EC9C8C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1.208267</w:t>
            </w:r>
          </w:p>
        </w:tc>
        <w:tc>
          <w:tcPr>
            <w:tcW w:w="812" w:type="dxa"/>
            <w:tcBorders>
              <w:top w:val="nil"/>
              <w:left w:val="nil"/>
              <w:bottom w:val="nil"/>
              <w:right w:val="nil"/>
            </w:tcBorders>
            <w:noWrap/>
            <w:vAlign w:val="bottom"/>
            <w:hideMark/>
          </w:tcPr>
          <w:p w14:paraId="6E285A3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0.23201</w:t>
            </w:r>
          </w:p>
        </w:tc>
        <w:tc>
          <w:tcPr>
            <w:tcW w:w="1152" w:type="dxa"/>
            <w:tcBorders>
              <w:top w:val="nil"/>
              <w:left w:val="nil"/>
              <w:bottom w:val="nil"/>
              <w:right w:val="nil"/>
            </w:tcBorders>
            <w:noWrap/>
            <w:vAlign w:val="bottom"/>
            <w:hideMark/>
          </w:tcPr>
          <w:p w14:paraId="1D19438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1.54</w:t>
            </w:r>
          </w:p>
        </w:tc>
        <w:tc>
          <w:tcPr>
            <w:tcW w:w="1269" w:type="dxa"/>
            <w:tcBorders>
              <w:top w:val="nil"/>
              <w:left w:val="nil"/>
              <w:bottom w:val="nil"/>
              <w:right w:val="nil"/>
            </w:tcBorders>
            <w:noWrap/>
            <w:vAlign w:val="bottom"/>
            <w:hideMark/>
          </w:tcPr>
          <w:p w14:paraId="6D4136C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-0.15012</w:t>
            </w:r>
          </w:p>
        </w:tc>
      </w:tr>
      <w:tr w:rsidR="00876A3C" w:rsidRPr="00876A3C" w14:paraId="2E9892B5" w14:textId="77777777" w:rsidTr="00876A3C">
        <w:trPr>
          <w:trHeight w:val="288"/>
        </w:trPr>
        <w:tc>
          <w:tcPr>
            <w:tcW w:w="1641" w:type="dxa"/>
            <w:tcBorders>
              <w:top w:val="nil"/>
              <w:left w:val="nil"/>
              <w:bottom w:val="nil"/>
              <w:right w:val="nil"/>
            </w:tcBorders>
            <w:noWrap/>
            <w:vAlign w:val="bottom"/>
            <w:hideMark/>
          </w:tcPr>
          <w:p w14:paraId="15853B63"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Axis Midcap Fund - Regular - Growth</w:t>
            </w:r>
          </w:p>
        </w:tc>
        <w:tc>
          <w:tcPr>
            <w:tcW w:w="1062" w:type="dxa"/>
            <w:tcBorders>
              <w:top w:val="nil"/>
              <w:left w:val="nil"/>
              <w:bottom w:val="nil"/>
              <w:right w:val="nil"/>
            </w:tcBorders>
            <w:noWrap/>
            <w:vAlign w:val="bottom"/>
            <w:hideMark/>
          </w:tcPr>
          <w:p w14:paraId="33440BE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35</w:t>
            </w:r>
          </w:p>
        </w:tc>
        <w:tc>
          <w:tcPr>
            <w:tcW w:w="897" w:type="dxa"/>
            <w:tcBorders>
              <w:top w:val="nil"/>
              <w:left w:val="nil"/>
              <w:bottom w:val="nil"/>
              <w:right w:val="nil"/>
            </w:tcBorders>
            <w:noWrap/>
            <w:vAlign w:val="bottom"/>
            <w:hideMark/>
          </w:tcPr>
          <w:p w14:paraId="548A3719"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5570962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25.5</w:t>
            </w:r>
          </w:p>
        </w:tc>
        <w:tc>
          <w:tcPr>
            <w:tcW w:w="858" w:type="dxa"/>
            <w:tcBorders>
              <w:top w:val="nil"/>
              <w:left w:val="nil"/>
              <w:bottom w:val="nil"/>
              <w:right w:val="nil"/>
            </w:tcBorders>
            <w:noWrap/>
            <w:vAlign w:val="bottom"/>
            <w:hideMark/>
          </w:tcPr>
          <w:p w14:paraId="5B3DD28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0.351025</w:t>
            </w:r>
          </w:p>
        </w:tc>
        <w:tc>
          <w:tcPr>
            <w:tcW w:w="812" w:type="dxa"/>
            <w:tcBorders>
              <w:top w:val="nil"/>
              <w:left w:val="nil"/>
              <w:bottom w:val="nil"/>
              <w:right w:val="nil"/>
            </w:tcBorders>
            <w:noWrap/>
            <w:vAlign w:val="bottom"/>
            <w:hideMark/>
          </w:tcPr>
          <w:p w14:paraId="6DC255E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0.998231</w:t>
            </w:r>
          </w:p>
        </w:tc>
        <w:tc>
          <w:tcPr>
            <w:tcW w:w="812" w:type="dxa"/>
            <w:tcBorders>
              <w:top w:val="nil"/>
              <w:left w:val="nil"/>
              <w:bottom w:val="nil"/>
              <w:right w:val="nil"/>
            </w:tcBorders>
            <w:noWrap/>
            <w:vAlign w:val="bottom"/>
            <w:hideMark/>
          </w:tcPr>
          <w:p w14:paraId="5365E54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0.260767</w:t>
            </w:r>
          </w:p>
        </w:tc>
        <w:tc>
          <w:tcPr>
            <w:tcW w:w="1152" w:type="dxa"/>
            <w:tcBorders>
              <w:top w:val="nil"/>
              <w:left w:val="nil"/>
              <w:bottom w:val="nil"/>
              <w:right w:val="nil"/>
            </w:tcBorders>
            <w:noWrap/>
            <w:vAlign w:val="bottom"/>
            <w:hideMark/>
          </w:tcPr>
          <w:p w14:paraId="071A439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1.38</w:t>
            </w:r>
          </w:p>
        </w:tc>
        <w:tc>
          <w:tcPr>
            <w:tcW w:w="1269" w:type="dxa"/>
            <w:tcBorders>
              <w:top w:val="nil"/>
              <w:left w:val="nil"/>
              <w:bottom w:val="nil"/>
              <w:right w:val="nil"/>
            </w:tcBorders>
            <w:noWrap/>
            <w:vAlign w:val="bottom"/>
            <w:hideMark/>
          </w:tcPr>
          <w:p w14:paraId="159FCD6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-0.20961</w:t>
            </w:r>
          </w:p>
        </w:tc>
      </w:tr>
      <w:tr w:rsidR="00876A3C" w:rsidRPr="00876A3C" w14:paraId="0B77DCFF" w14:textId="77777777" w:rsidTr="00876A3C">
        <w:trPr>
          <w:trHeight w:val="288"/>
        </w:trPr>
        <w:tc>
          <w:tcPr>
            <w:tcW w:w="1641" w:type="dxa"/>
            <w:tcBorders>
              <w:top w:val="nil"/>
              <w:left w:val="nil"/>
              <w:bottom w:val="nil"/>
              <w:right w:val="nil"/>
            </w:tcBorders>
            <w:noWrap/>
            <w:vAlign w:val="bottom"/>
            <w:hideMark/>
          </w:tcPr>
          <w:p w14:paraId="2E4107DE"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ICICI Pru </w:t>
            </w:r>
            <w:proofErr w:type="spellStart"/>
            <w:r w:rsidRPr="00876A3C">
              <w:rPr>
                <w:rFonts w:ascii="Calibri" w:eastAsia="Times New Roman" w:hAnsi="Calibri" w:cs="Calibri"/>
                <w:color w:val="000000"/>
                <w:kern w:val="0"/>
                <w:sz w:val="22"/>
                <w:szCs w:val="22"/>
                <w14:ligatures w14:val="none"/>
              </w:rPr>
              <w:t>Bluechip</w:t>
            </w:r>
            <w:proofErr w:type="spellEnd"/>
            <w:r w:rsidRPr="00876A3C">
              <w:rPr>
                <w:rFonts w:ascii="Calibri" w:eastAsia="Times New Roman" w:hAnsi="Calibri" w:cs="Calibri"/>
                <w:color w:val="000000"/>
                <w:kern w:val="0"/>
                <w:sz w:val="22"/>
                <w:szCs w:val="22"/>
                <w14:ligatures w14:val="none"/>
              </w:rPr>
              <w:t xml:space="preserve"> Fund - Direct - Growth</w:t>
            </w:r>
          </w:p>
        </w:tc>
        <w:tc>
          <w:tcPr>
            <w:tcW w:w="1062" w:type="dxa"/>
            <w:tcBorders>
              <w:top w:val="nil"/>
              <w:left w:val="nil"/>
              <w:bottom w:val="nil"/>
              <w:right w:val="nil"/>
            </w:tcBorders>
            <w:noWrap/>
            <w:vAlign w:val="bottom"/>
            <w:hideMark/>
          </w:tcPr>
          <w:p w14:paraId="0FD78886"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36</w:t>
            </w:r>
          </w:p>
        </w:tc>
        <w:tc>
          <w:tcPr>
            <w:tcW w:w="897" w:type="dxa"/>
            <w:tcBorders>
              <w:top w:val="nil"/>
              <w:left w:val="nil"/>
              <w:bottom w:val="nil"/>
              <w:right w:val="nil"/>
            </w:tcBorders>
            <w:noWrap/>
            <w:vAlign w:val="bottom"/>
            <w:hideMark/>
          </w:tcPr>
          <w:p w14:paraId="5A9D2AF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5A86E92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22.5</w:t>
            </w:r>
          </w:p>
        </w:tc>
        <w:tc>
          <w:tcPr>
            <w:tcW w:w="858" w:type="dxa"/>
            <w:tcBorders>
              <w:top w:val="nil"/>
              <w:left w:val="nil"/>
              <w:bottom w:val="nil"/>
              <w:right w:val="nil"/>
            </w:tcBorders>
            <w:noWrap/>
            <w:vAlign w:val="bottom"/>
            <w:hideMark/>
          </w:tcPr>
          <w:p w14:paraId="04AA59D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0.324789</w:t>
            </w:r>
          </w:p>
        </w:tc>
        <w:tc>
          <w:tcPr>
            <w:tcW w:w="812" w:type="dxa"/>
            <w:tcBorders>
              <w:top w:val="nil"/>
              <w:left w:val="nil"/>
              <w:bottom w:val="nil"/>
              <w:right w:val="nil"/>
            </w:tcBorders>
            <w:noWrap/>
            <w:vAlign w:val="bottom"/>
            <w:hideMark/>
          </w:tcPr>
          <w:p w14:paraId="1644CE6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1.026524</w:t>
            </w:r>
          </w:p>
        </w:tc>
        <w:tc>
          <w:tcPr>
            <w:tcW w:w="812" w:type="dxa"/>
            <w:tcBorders>
              <w:top w:val="nil"/>
              <w:left w:val="nil"/>
              <w:bottom w:val="nil"/>
              <w:right w:val="nil"/>
            </w:tcBorders>
            <w:noWrap/>
            <w:vAlign w:val="bottom"/>
            <w:hideMark/>
          </w:tcPr>
          <w:p w14:paraId="68AEAAE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0.211948</w:t>
            </w:r>
          </w:p>
        </w:tc>
        <w:tc>
          <w:tcPr>
            <w:tcW w:w="1152" w:type="dxa"/>
            <w:tcBorders>
              <w:top w:val="nil"/>
              <w:left w:val="nil"/>
              <w:bottom w:val="nil"/>
              <w:right w:val="nil"/>
            </w:tcBorders>
            <w:noWrap/>
            <w:vAlign w:val="bottom"/>
            <w:hideMark/>
          </w:tcPr>
          <w:p w14:paraId="0FDEE17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0.8</w:t>
            </w:r>
          </w:p>
        </w:tc>
        <w:tc>
          <w:tcPr>
            <w:tcW w:w="1269" w:type="dxa"/>
            <w:tcBorders>
              <w:top w:val="nil"/>
              <w:left w:val="nil"/>
              <w:bottom w:val="nil"/>
              <w:right w:val="nil"/>
            </w:tcBorders>
            <w:noWrap/>
            <w:vAlign w:val="bottom"/>
            <w:hideMark/>
          </w:tcPr>
          <w:p w14:paraId="747D717E"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-0.12588</w:t>
            </w:r>
          </w:p>
        </w:tc>
      </w:tr>
      <w:tr w:rsidR="00876A3C" w:rsidRPr="00876A3C" w14:paraId="688EA475" w14:textId="77777777" w:rsidTr="00876A3C">
        <w:trPr>
          <w:trHeight w:val="288"/>
        </w:trPr>
        <w:tc>
          <w:tcPr>
            <w:tcW w:w="1641" w:type="dxa"/>
            <w:tcBorders>
              <w:top w:val="nil"/>
              <w:left w:val="nil"/>
              <w:bottom w:val="nil"/>
              <w:right w:val="nil"/>
            </w:tcBorders>
            <w:noWrap/>
            <w:vAlign w:val="bottom"/>
            <w:hideMark/>
          </w:tcPr>
          <w:p w14:paraId="1065DD9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HDFC Mid-Cap Opportunities Fund - Regular - Growth</w:t>
            </w:r>
          </w:p>
        </w:tc>
        <w:tc>
          <w:tcPr>
            <w:tcW w:w="1062" w:type="dxa"/>
            <w:tcBorders>
              <w:top w:val="nil"/>
              <w:left w:val="nil"/>
              <w:bottom w:val="nil"/>
              <w:right w:val="nil"/>
            </w:tcBorders>
            <w:noWrap/>
            <w:vAlign w:val="bottom"/>
            <w:hideMark/>
          </w:tcPr>
          <w:p w14:paraId="2EF35B4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37</w:t>
            </w:r>
          </w:p>
        </w:tc>
        <w:tc>
          <w:tcPr>
            <w:tcW w:w="897" w:type="dxa"/>
            <w:tcBorders>
              <w:top w:val="nil"/>
              <w:left w:val="nil"/>
              <w:bottom w:val="nil"/>
              <w:right w:val="nil"/>
            </w:tcBorders>
            <w:noWrap/>
            <w:vAlign w:val="bottom"/>
            <w:hideMark/>
          </w:tcPr>
          <w:p w14:paraId="49016FB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5727667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21.75</w:t>
            </w:r>
          </w:p>
        </w:tc>
        <w:tc>
          <w:tcPr>
            <w:tcW w:w="858" w:type="dxa"/>
            <w:tcBorders>
              <w:top w:val="nil"/>
              <w:left w:val="nil"/>
              <w:bottom w:val="nil"/>
              <w:right w:val="nil"/>
            </w:tcBorders>
            <w:noWrap/>
            <w:vAlign w:val="bottom"/>
            <w:hideMark/>
          </w:tcPr>
          <w:p w14:paraId="1D91E84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0.32434</w:t>
            </w:r>
          </w:p>
        </w:tc>
        <w:tc>
          <w:tcPr>
            <w:tcW w:w="812" w:type="dxa"/>
            <w:tcBorders>
              <w:top w:val="nil"/>
              <w:left w:val="nil"/>
              <w:bottom w:val="nil"/>
              <w:right w:val="nil"/>
            </w:tcBorders>
            <w:noWrap/>
            <w:vAlign w:val="bottom"/>
            <w:hideMark/>
          </w:tcPr>
          <w:p w14:paraId="01889C8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1.093699</w:t>
            </w:r>
          </w:p>
        </w:tc>
        <w:tc>
          <w:tcPr>
            <w:tcW w:w="812" w:type="dxa"/>
            <w:tcBorders>
              <w:top w:val="nil"/>
              <w:left w:val="nil"/>
              <w:bottom w:val="nil"/>
              <w:right w:val="nil"/>
            </w:tcBorders>
            <w:noWrap/>
            <w:vAlign w:val="bottom"/>
            <w:hideMark/>
          </w:tcPr>
          <w:p w14:paraId="70E8908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0.271954</w:t>
            </w:r>
          </w:p>
        </w:tc>
        <w:tc>
          <w:tcPr>
            <w:tcW w:w="1152" w:type="dxa"/>
            <w:tcBorders>
              <w:top w:val="nil"/>
              <w:left w:val="nil"/>
              <w:bottom w:val="nil"/>
              <w:right w:val="nil"/>
            </w:tcBorders>
            <w:noWrap/>
            <w:vAlign w:val="bottom"/>
            <w:hideMark/>
          </w:tcPr>
          <w:p w14:paraId="24FD3D19"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1.38</w:t>
            </w:r>
          </w:p>
        </w:tc>
        <w:tc>
          <w:tcPr>
            <w:tcW w:w="1269" w:type="dxa"/>
            <w:tcBorders>
              <w:top w:val="nil"/>
              <w:left w:val="nil"/>
              <w:bottom w:val="nil"/>
              <w:right w:val="nil"/>
            </w:tcBorders>
            <w:noWrap/>
            <w:vAlign w:val="bottom"/>
            <w:hideMark/>
          </w:tcPr>
          <w:p w14:paraId="221DB3F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-0.16217</w:t>
            </w:r>
          </w:p>
        </w:tc>
      </w:tr>
      <w:tr w:rsidR="00876A3C" w:rsidRPr="00876A3C" w14:paraId="32CAE0D1" w14:textId="77777777" w:rsidTr="00876A3C">
        <w:trPr>
          <w:trHeight w:val="288"/>
        </w:trPr>
        <w:tc>
          <w:tcPr>
            <w:tcW w:w="1641" w:type="dxa"/>
            <w:tcBorders>
              <w:top w:val="nil"/>
              <w:left w:val="nil"/>
              <w:bottom w:val="nil"/>
              <w:right w:val="nil"/>
            </w:tcBorders>
            <w:noWrap/>
            <w:vAlign w:val="bottom"/>
            <w:hideMark/>
          </w:tcPr>
          <w:p w14:paraId="43481B82"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 xml:space="preserve">Kotak </w:t>
            </w:r>
            <w:proofErr w:type="spellStart"/>
            <w:r w:rsidRPr="00876A3C">
              <w:rPr>
                <w:rFonts w:ascii="Calibri" w:eastAsia="Times New Roman" w:hAnsi="Calibri" w:cs="Calibri"/>
                <w:color w:val="000000"/>
                <w:kern w:val="0"/>
                <w:sz w:val="22"/>
                <w:szCs w:val="22"/>
                <w14:ligatures w14:val="none"/>
              </w:rPr>
              <w:t>Flexicap</w:t>
            </w:r>
            <w:proofErr w:type="spellEnd"/>
            <w:r w:rsidRPr="00876A3C">
              <w:rPr>
                <w:rFonts w:ascii="Calibri" w:eastAsia="Times New Roman" w:hAnsi="Calibri" w:cs="Calibri"/>
                <w:color w:val="000000"/>
                <w:kern w:val="0"/>
                <w:sz w:val="22"/>
                <w:szCs w:val="22"/>
                <w14:ligatures w14:val="none"/>
              </w:rPr>
              <w:t xml:space="preserve"> Fund - Regular - Growth</w:t>
            </w:r>
          </w:p>
        </w:tc>
        <w:tc>
          <w:tcPr>
            <w:tcW w:w="1062" w:type="dxa"/>
            <w:tcBorders>
              <w:top w:val="nil"/>
              <w:left w:val="nil"/>
              <w:bottom w:val="nil"/>
              <w:right w:val="nil"/>
            </w:tcBorders>
            <w:noWrap/>
            <w:vAlign w:val="bottom"/>
            <w:hideMark/>
          </w:tcPr>
          <w:p w14:paraId="40541F7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38</w:t>
            </w:r>
          </w:p>
        </w:tc>
        <w:tc>
          <w:tcPr>
            <w:tcW w:w="897" w:type="dxa"/>
            <w:tcBorders>
              <w:top w:val="nil"/>
              <w:left w:val="nil"/>
              <w:bottom w:val="nil"/>
              <w:right w:val="nil"/>
            </w:tcBorders>
            <w:noWrap/>
            <w:vAlign w:val="bottom"/>
            <w:hideMark/>
          </w:tcPr>
          <w:p w14:paraId="764919BC"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6D6D2FE3"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20.5</w:t>
            </w:r>
          </w:p>
        </w:tc>
        <w:tc>
          <w:tcPr>
            <w:tcW w:w="858" w:type="dxa"/>
            <w:tcBorders>
              <w:top w:val="nil"/>
              <w:left w:val="nil"/>
              <w:bottom w:val="nil"/>
              <w:right w:val="nil"/>
            </w:tcBorders>
            <w:noWrap/>
            <w:vAlign w:val="bottom"/>
            <w:hideMark/>
          </w:tcPr>
          <w:p w14:paraId="10D31B9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0.295751</w:t>
            </w:r>
          </w:p>
        </w:tc>
        <w:tc>
          <w:tcPr>
            <w:tcW w:w="812" w:type="dxa"/>
            <w:tcBorders>
              <w:top w:val="nil"/>
              <w:left w:val="nil"/>
              <w:bottom w:val="nil"/>
              <w:right w:val="nil"/>
            </w:tcBorders>
            <w:noWrap/>
            <w:vAlign w:val="bottom"/>
            <w:hideMark/>
          </w:tcPr>
          <w:p w14:paraId="0DD5462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1.306744</w:t>
            </w:r>
          </w:p>
        </w:tc>
        <w:tc>
          <w:tcPr>
            <w:tcW w:w="812" w:type="dxa"/>
            <w:tcBorders>
              <w:top w:val="nil"/>
              <w:left w:val="nil"/>
              <w:bottom w:val="nil"/>
              <w:right w:val="nil"/>
            </w:tcBorders>
            <w:noWrap/>
            <w:vAlign w:val="bottom"/>
            <w:hideMark/>
          </w:tcPr>
          <w:p w14:paraId="49F0C352"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0.273305</w:t>
            </w:r>
          </w:p>
        </w:tc>
        <w:tc>
          <w:tcPr>
            <w:tcW w:w="1152" w:type="dxa"/>
            <w:tcBorders>
              <w:top w:val="nil"/>
              <w:left w:val="nil"/>
              <w:bottom w:val="nil"/>
              <w:right w:val="nil"/>
            </w:tcBorders>
            <w:noWrap/>
            <w:vAlign w:val="bottom"/>
            <w:hideMark/>
          </w:tcPr>
          <w:p w14:paraId="3481FE6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1.45</w:t>
            </w:r>
          </w:p>
        </w:tc>
        <w:tc>
          <w:tcPr>
            <w:tcW w:w="1269" w:type="dxa"/>
            <w:tcBorders>
              <w:top w:val="nil"/>
              <w:left w:val="nil"/>
              <w:bottom w:val="nil"/>
              <w:right w:val="nil"/>
            </w:tcBorders>
            <w:noWrap/>
            <w:vAlign w:val="bottom"/>
            <w:hideMark/>
          </w:tcPr>
          <w:p w14:paraId="7A087DB1"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-0.12974</w:t>
            </w:r>
          </w:p>
        </w:tc>
      </w:tr>
      <w:tr w:rsidR="00876A3C" w:rsidRPr="00876A3C" w14:paraId="65FB7863" w14:textId="77777777" w:rsidTr="00876A3C">
        <w:trPr>
          <w:trHeight w:val="288"/>
        </w:trPr>
        <w:tc>
          <w:tcPr>
            <w:tcW w:w="1641" w:type="dxa"/>
            <w:tcBorders>
              <w:top w:val="nil"/>
              <w:left w:val="nil"/>
              <w:bottom w:val="nil"/>
              <w:right w:val="nil"/>
            </w:tcBorders>
            <w:noWrap/>
            <w:vAlign w:val="bottom"/>
            <w:hideMark/>
          </w:tcPr>
          <w:p w14:paraId="2C1F92F6"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ICICI Pru Midcap Fund - Regular - Growth</w:t>
            </w:r>
          </w:p>
        </w:tc>
        <w:tc>
          <w:tcPr>
            <w:tcW w:w="1062" w:type="dxa"/>
            <w:tcBorders>
              <w:top w:val="nil"/>
              <w:left w:val="nil"/>
              <w:bottom w:val="nil"/>
              <w:right w:val="nil"/>
            </w:tcBorders>
            <w:noWrap/>
            <w:vAlign w:val="bottom"/>
            <w:hideMark/>
          </w:tcPr>
          <w:p w14:paraId="5255A375"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39</w:t>
            </w:r>
          </w:p>
        </w:tc>
        <w:tc>
          <w:tcPr>
            <w:tcW w:w="897" w:type="dxa"/>
            <w:tcBorders>
              <w:top w:val="nil"/>
              <w:left w:val="nil"/>
              <w:bottom w:val="nil"/>
              <w:right w:val="nil"/>
            </w:tcBorders>
            <w:noWrap/>
            <w:vAlign w:val="bottom"/>
            <w:hideMark/>
          </w:tcPr>
          <w:p w14:paraId="3A6CB345"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772629E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20.25</w:t>
            </w:r>
          </w:p>
        </w:tc>
        <w:tc>
          <w:tcPr>
            <w:tcW w:w="858" w:type="dxa"/>
            <w:tcBorders>
              <w:top w:val="nil"/>
              <w:left w:val="nil"/>
              <w:bottom w:val="nil"/>
              <w:right w:val="nil"/>
            </w:tcBorders>
            <w:noWrap/>
            <w:vAlign w:val="bottom"/>
            <w:hideMark/>
          </w:tcPr>
          <w:p w14:paraId="0E22092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0.317692</w:t>
            </w:r>
          </w:p>
        </w:tc>
        <w:tc>
          <w:tcPr>
            <w:tcW w:w="812" w:type="dxa"/>
            <w:tcBorders>
              <w:top w:val="nil"/>
              <w:left w:val="nil"/>
              <w:bottom w:val="nil"/>
              <w:right w:val="nil"/>
            </w:tcBorders>
            <w:noWrap/>
            <w:vAlign w:val="bottom"/>
            <w:hideMark/>
          </w:tcPr>
          <w:p w14:paraId="4AC5608D"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1.180101</w:t>
            </w:r>
          </w:p>
        </w:tc>
        <w:tc>
          <w:tcPr>
            <w:tcW w:w="812" w:type="dxa"/>
            <w:tcBorders>
              <w:top w:val="nil"/>
              <w:left w:val="nil"/>
              <w:bottom w:val="nil"/>
              <w:right w:val="nil"/>
            </w:tcBorders>
            <w:noWrap/>
            <w:vAlign w:val="bottom"/>
            <w:hideMark/>
          </w:tcPr>
          <w:p w14:paraId="1115DD17"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0.292636</w:t>
            </w:r>
          </w:p>
        </w:tc>
        <w:tc>
          <w:tcPr>
            <w:tcW w:w="1152" w:type="dxa"/>
            <w:tcBorders>
              <w:top w:val="nil"/>
              <w:left w:val="nil"/>
              <w:bottom w:val="nil"/>
              <w:right w:val="nil"/>
            </w:tcBorders>
            <w:noWrap/>
            <w:vAlign w:val="bottom"/>
            <w:hideMark/>
          </w:tcPr>
          <w:p w14:paraId="0ECF62FF"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1.36</w:t>
            </w:r>
          </w:p>
        </w:tc>
        <w:tc>
          <w:tcPr>
            <w:tcW w:w="1269" w:type="dxa"/>
            <w:tcBorders>
              <w:top w:val="nil"/>
              <w:left w:val="nil"/>
              <w:bottom w:val="nil"/>
              <w:right w:val="nil"/>
            </w:tcBorders>
            <w:noWrap/>
            <w:vAlign w:val="bottom"/>
            <w:hideMark/>
          </w:tcPr>
          <w:p w14:paraId="4515877C"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-0.18189</w:t>
            </w:r>
          </w:p>
        </w:tc>
      </w:tr>
      <w:tr w:rsidR="00876A3C" w:rsidRPr="00876A3C" w14:paraId="38D3A8FE" w14:textId="77777777" w:rsidTr="00876A3C">
        <w:trPr>
          <w:trHeight w:val="288"/>
        </w:trPr>
        <w:tc>
          <w:tcPr>
            <w:tcW w:w="1641" w:type="dxa"/>
            <w:tcBorders>
              <w:top w:val="nil"/>
              <w:left w:val="nil"/>
              <w:bottom w:val="nil"/>
              <w:right w:val="nil"/>
            </w:tcBorders>
            <w:noWrap/>
            <w:vAlign w:val="bottom"/>
            <w:hideMark/>
          </w:tcPr>
          <w:p w14:paraId="7B464DB8"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Mirae Asset Large Cap Fund - Regular - Growth</w:t>
            </w:r>
          </w:p>
        </w:tc>
        <w:tc>
          <w:tcPr>
            <w:tcW w:w="1062" w:type="dxa"/>
            <w:tcBorders>
              <w:top w:val="nil"/>
              <w:left w:val="nil"/>
              <w:bottom w:val="nil"/>
              <w:right w:val="nil"/>
            </w:tcBorders>
            <w:noWrap/>
            <w:vAlign w:val="bottom"/>
            <w:hideMark/>
          </w:tcPr>
          <w:p w14:paraId="5320914A"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40</w:t>
            </w:r>
          </w:p>
        </w:tc>
        <w:tc>
          <w:tcPr>
            <w:tcW w:w="897" w:type="dxa"/>
            <w:tcBorders>
              <w:top w:val="nil"/>
              <w:left w:val="nil"/>
              <w:bottom w:val="nil"/>
              <w:right w:val="nil"/>
            </w:tcBorders>
            <w:noWrap/>
            <w:vAlign w:val="bottom"/>
            <w:hideMark/>
          </w:tcPr>
          <w:p w14:paraId="2372B10E" w14:textId="77777777" w:rsidR="00876A3C" w:rsidRPr="00876A3C" w:rsidRDefault="00876A3C" w:rsidP="00876A3C">
            <w:pPr>
              <w:spacing w:after="0" w:line="240" w:lineRule="auto"/>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Equity</w:t>
            </w:r>
          </w:p>
        </w:tc>
        <w:tc>
          <w:tcPr>
            <w:tcW w:w="857" w:type="dxa"/>
            <w:tcBorders>
              <w:top w:val="nil"/>
              <w:left w:val="nil"/>
              <w:bottom w:val="nil"/>
              <w:right w:val="nil"/>
            </w:tcBorders>
            <w:noWrap/>
            <w:vAlign w:val="bottom"/>
            <w:hideMark/>
          </w:tcPr>
          <w:p w14:paraId="01FF3284"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16.25</w:t>
            </w:r>
          </w:p>
        </w:tc>
        <w:tc>
          <w:tcPr>
            <w:tcW w:w="858" w:type="dxa"/>
            <w:tcBorders>
              <w:top w:val="nil"/>
              <w:left w:val="nil"/>
              <w:bottom w:val="nil"/>
              <w:right w:val="nil"/>
            </w:tcBorders>
            <w:noWrap/>
            <w:vAlign w:val="bottom"/>
            <w:hideMark/>
          </w:tcPr>
          <w:p w14:paraId="3641AFEB"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0.33992</w:t>
            </w:r>
          </w:p>
        </w:tc>
        <w:tc>
          <w:tcPr>
            <w:tcW w:w="812" w:type="dxa"/>
            <w:tcBorders>
              <w:top w:val="nil"/>
              <w:left w:val="nil"/>
              <w:bottom w:val="nil"/>
              <w:right w:val="nil"/>
            </w:tcBorders>
            <w:noWrap/>
            <w:vAlign w:val="bottom"/>
            <w:hideMark/>
          </w:tcPr>
          <w:p w14:paraId="1106AC8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1.448291</w:t>
            </w:r>
          </w:p>
        </w:tc>
        <w:tc>
          <w:tcPr>
            <w:tcW w:w="812" w:type="dxa"/>
            <w:tcBorders>
              <w:top w:val="nil"/>
              <w:left w:val="nil"/>
              <w:bottom w:val="nil"/>
              <w:right w:val="nil"/>
            </w:tcBorders>
            <w:noWrap/>
            <w:vAlign w:val="bottom"/>
            <w:hideMark/>
          </w:tcPr>
          <w:p w14:paraId="4815A5F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0.269838</w:t>
            </w:r>
          </w:p>
        </w:tc>
        <w:tc>
          <w:tcPr>
            <w:tcW w:w="1152" w:type="dxa"/>
            <w:tcBorders>
              <w:top w:val="nil"/>
              <w:left w:val="nil"/>
              <w:bottom w:val="nil"/>
              <w:right w:val="nil"/>
            </w:tcBorders>
            <w:noWrap/>
            <w:vAlign w:val="bottom"/>
            <w:hideMark/>
          </w:tcPr>
          <w:p w14:paraId="018BBB70"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1.46</w:t>
            </w:r>
          </w:p>
        </w:tc>
        <w:tc>
          <w:tcPr>
            <w:tcW w:w="1269" w:type="dxa"/>
            <w:tcBorders>
              <w:top w:val="nil"/>
              <w:left w:val="nil"/>
              <w:bottom w:val="nil"/>
              <w:right w:val="nil"/>
            </w:tcBorders>
            <w:noWrap/>
            <w:vAlign w:val="bottom"/>
            <w:hideMark/>
          </w:tcPr>
          <w:p w14:paraId="68A26398" w14:textId="77777777" w:rsidR="00876A3C" w:rsidRPr="00876A3C" w:rsidRDefault="00876A3C" w:rsidP="00876A3C">
            <w:pPr>
              <w:spacing w:after="0" w:line="240" w:lineRule="auto"/>
              <w:jc w:val="right"/>
              <w:rPr>
                <w:rFonts w:ascii="Calibri" w:eastAsia="Times New Roman" w:hAnsi="Calibri" w:cs="Calibri"/>
                <w:color w:val="000000"/>
                <w:kern w:val="0"/>
                <w:sz w:val="22"/>
                <w:szCs w:val="22"/>
                <w14:ligatures w14:val="none"/>
              </w:rPr>
            </w:pPr>
            <w:r w:rsidRPr="00876A3C">
              <w:rPr>
                <w:rFonts w:ascii="Calibri" w:eastAsia="Times New Roman" w:hAnsi="Calibri" w:cs="Calibri"/>
                <w:color w:val="000000"/>
                <w:kern w:val="0"/>
                <w:sz w:val="22"/>
                <w:szCs w:val="22"/>
                <w14:ligatures w14:val="none"/>
              </w:rPr>
              <w:t>-0.11266</w:t>
            </w:r>
          </w:p>
        </w:tc>
      </w:tr>
    </w:tbl>
    <w:p w14:paraId="4BAE8F31" w14:textId="77777777" w:rsidR="00234C32" w:rsidRPr="00234C32" w:rsidRDefault="00234C32" w:rsidP="00234C32"/>
    <w:sectPr w:rsidR="00234C32" w:rsidRPr="00234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A15"/>
    <w:multiLevelType w:val="hybridMultilevel"/>
    <w:tmpl w:val="0E0E9706"/>
    <w:lvl w:ilvl="0" w:tplc="5290E4B2">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11173"/>
    <w:multiLevelType w:val="hybridMultilevel"/>
    <w:tmpl w:val="ECDEBC2E"/>
    <w:lvl w:ilvl="0" w:tplc="A36CD81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A77DF"/>
    <w:multiLevelType w:val="hybridMultilevel"/>
    <w:tmpl w:val="B9DEF65A"/>
    <w:lvl w:ilvl="0" w:tplc="FCBC78E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8B4402"/>
    <w:multiLevelType w:val="hybridMultilevel"/>
    <w:tmpl w:val="8F9CD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8F2331"/>
    <w:multiLevelType w:val="hybridMultilevel"/>
    <w:tmpl w:val="61101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15529">
    <w:abstractNumId w:val="4"/>
  </w:num>
  <w:num w:numId="2" w16cid:durableId="1937982259">
    <w:abstractNumId w:val="3"/>
  </w:num>
  <w:num w:numId="3" w16cid:durableId="2100321746">
    <w:abstractNumId w:val="2"/>
  </w:num>
  <w:num w:numId="4" w16cid:durableId="1023895153">
    <w:abstractNumId w:val="1"/>
  </w:num>
  <w:num w:numId="5" w16cid:durableId="87130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B5"/>
    <w:rsid w:val="00137BE1"/>
    <w:rsid w:val="00162294"/>
    <w:rsid w:val="00234C32"/>
    <w:rsid w:val="002573F1"/>
    <w:rsid w:val="00295AB8"/>
    <w:rsid w:val="002C0CBE"/>
    <w:rsid w:val="004302F8"/>
    <w:rsid w:val="00492434"/>
    <w:rsid w:val="004F14FB"/>
    <w:rsid w:val="00655963"/>
    <w:rsid w:val="00864D1B"/>
    <w:rsid w:val="00876A3C"/>
    <w:rsid w:val="00900B65"/>
    <w:rsid w:val="00A2306A"/>
    <w:rsid w:val="00A94C04"/>
    <w:rsid w:val="00AC708A"/>
    <w:rsid w:val="00AE7AF0"/>
    <w:rsid w:val="00B65176"/>
    <w:rsid w:val="00C97620"/>
    <w:rsid w:val="00EA0C28"/>
    <w:rsid w:val="00EB4197"/>
    <w:rsid w:val="00EC614B"/>
    <w:rsid w:val="00F96FC6"/>
    <w:rsid w:val="00FC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F411"/>
  <w15:chartTrackingRefBased/>
  <w15:docId w15:val="{8277F521-14D5-45EF-983E-73767264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2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2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2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B5"/>
    <w:rPr>
      <w:rFonts w:eastAsiaTheme="majorEastAsia" w:cstheme="majorBidi"/>
      <w:color w:val="272727" w:themeColor="text1" w:themeTint="D8"/>
    </w:rPr>
  </w:style>
  <w:style w:type="paragraph" w:styleId="Title">
    <w:name w:val="Title"/>
    <w:basedOn w:val="Normal"/>
    <w:next w:val="Normal"/>
    <w:link w:val="TitleChar"/>
    <w:uiPriority w:val="10"/>
    <w:qFormat/>
    <w:rsid w:val="00FC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B5"/>
    <w:pPr>
      <w:spacing w:before="160"/>
      <w:jc w:val="center"/>
    </w:pPr>
    <w:rPr>
      <w:i/>
      <w:iCs/>
      <w:color w:val="404040" w:themeColor="text1" w:themeTint="BF"/>
    </w:rPr>
  </w:style>
  <w:style w:type="character" w:customStyle="1" w:styleId="QuoteChar">
    <w:name w:val="Quote Char"/>
    <w:basedOn w:val="DefaultParagraphFont"/>
    <w:link w:val="Quote"/>
    <w:uiPriority w:val="29"/>
    <w:rsid w:val="00FC22B5"/>
    <w:rPr>
      <w:i/>
      <w:iCs/>
      <w:color w:val="404040" w:themeColor="text1" w:themeTint="BF"/>
    </w:rPr>
  </w:style>
  <w:style w:type="paragraph" w:styleId="ListParagraph">
    <w:name w:val="List Paragraph"/>
    <w:basedOn w:val="Normal"/>
    <w:uiPriority w:val="34"/>
    <w:qFormat/>
    <w:rsid w:val="00FC22B5"/>
    <w:pPr>
      <w:ind w:left="720"/>
      <w:contextualSpacing/>
    </w:pPr>
  </w:style>
  <w:style w:type="character" w:styleId="IntenseEmphasis">
    <w:name w:val="Intense Emphasis"/>
    <w:basedOn w:val="DefaultParagraphFont"/>
    <w:uiPriority w:val="21"/>
    <w:qFormat/>
    <w:rsid w:val="00FC22B5"/>
    <w:rPr>
      <w:i/>
      <w:iCs/>
      <w:color w:val="2F5496" w:themeColor="accent1" w:themeShade="BF"/>
    </w:rPr>
  </w:style>
  <w:style w:type="paragraph" w:styleId="IntenseQuote">
    <w:name w:val="Intense Quote"/>
    <w:basedOn w:val="Normal"/>
    <w:next w:val="Normal"/>
    <w:link w:val="IntenseQuoteChar"/>
    <w:uiPriority w:val="30"/>
    <w:qFormat/>
    <w:rsid w:val="00FC2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2B5"/>
    <w:rPr>
      <w:i/>
      <w:iCs/>
      <w:color w:val="2F5496" w:themeColor="accent1" w:themeShade="BF"/>
    </w:rPr>
  </w:style>
  <w:style w:type="character" w:styleId="IntenseReference">
    <w:name w:val="Intense Reference"/>
    <w:basedOn w:val="DefaultParagraphFont"/>
    <w:uiPriority w:val="32"/>
    <w:qFormat/>
    <w:rsid w:val="00FC22B5"/>
    <w:rPr>
      <w:b/>
      <w:bCs/>
      <w:smallCaps/>
      <w:color w:val="2F5496" w:themeColor="accent1" w:themeShade="BF"/>
      <w:spacing w:val="5"/>
    </w:rPr>
  </w:style>
  <w:style w:type="paragraph" w:styleId="TOCHeading">
    <w:name w:val="TOC Heading"/>
    <w:basedOn w:val="Heading1"/>
    <w:next w:val="Normal"/>
    <w:uiPriority w:val="39"/>
    <w:unhideWhenUsed/>
    <w:qFormat/>
    <w:rsid w:val="00137BE1"/>
    <w:pPr>
      <w:spacing w:before="240" w:after="0" w:line="259" w:lineRule="auto"/>
      <w:outlineLvl w:val="9"/>
    </w:pPr>
    <w:rPr>
      <w:kern w:val="0"/>
      <w:sz w:val="32"/>
      <w:szCs w:val="32"/>
      <w14:ligatures w14:val="none"/>
    </w:rPr>
  </w:style>
  <w:style w:type="paragraph" w:styleId="NoSpacing">
    <w:name w:val="No Spacing"/>
    <w:uiPriority w:val="1"/>
    <w:qFormat/>
    <w:rsid w:val="002C0CBE"/>
    <w:pPr>
      <w:spacing w:after="0" w:line="240" w:lineRule="auto"/>
    </w:pPr>
  </w:style>
  <w:style w:type="paragraph" w:styleId="TOC1">
    <w:name w:val="toc 1"/>
    <w:basedOn w:val="Normal"/>
    <w:next w:val="Normal"/>
    <w:autoRedefine/>
    <w:uiPriority w:val="39"/>
    <w:unhideWhenUsed/>
    <w:rsid w:val="00864D1B"/>
    <w:pPr>
      <w:spacing w:after="100"/>
    </w:pPr>
  </w:style>
  <w:style w:type="character" w:styleId="Hyperlink">
    <w:name w:val="Hyperlink"/>
    <w:basedOn w:val="DefaultParagraphFont"/>
    <w:uiPriority w:val="99"/>
    <w:unhideWhenUsed/>
    <w:rsid w:val="00864D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15924-74A8-4D8A-94CC-CFEEE6314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2799</Words>
  <Characters>16379</Characters>
  <Application>Microsoft Office Word</Application>
  <DocSecurity>0</DocSecurity>
  <Lines>1023</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vasantha</dc:creator>
  <cp:keywords/>
  <dc:description/>
  <cp:lastModifiedBy>vinod vasantha</cp:lastModifiedBy>
  <cp:revision>3</cp:revision>
  <cp:lastPrinted>2026-09-04T12:10:00Z</cp:lastPrinted>
  <dcterms:created xsi:type="dcterms:W3CDTF">2026-08-28T09:35:00Z</dcterms:created>
  <dcterms:modified xsi:type="dcterms:W3CDTF">2026-09-04T12:13:00Z</dcterms:modified>
</cp:coreProperties>
</file>