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A8F75">
      <w:pPr>
        <w:pStyle w:val="15"/>
        <w:spacing w:after="120"/>
      </w:pPr>
      <w:r>
        <w:t>Secure boot, authentic boot &amp; runtime integrity — TDA4VM ADAS ECU</w:t>
      </w:r>
    </w:p>
    <w:p w14:paraId="78D2CDF6">
      <w:pPr>
        <w:spacing w:after="140"/>
      </w:pPr>
      <w:r>
        <w:rPr>
          <w:b w:val="0"/>
          <w:bCs w:val="0"/>
          <w:i/>
          <w:iCs/>
        </w:rPr>
        <w:t>Scope and terminology note: this document covers three related but distinct controls — Secure Boot (verify-and-enforce), Authentic/Measured Boot (measure-and-log), and Runtime Integrity Monitoring (continuous re-checking after boot, referred to here as "RTIC/RTMD"). "RTMD" is not a term verifiable against TI's public documentation the way DMSC/TIFS/SA2UL were — it is treated here as the industry-standard Runtime Integrity Checking (RTIC) concept, built from TDA4VM's known primitives (SA2UL hashing, NvM storage), not as a confirmed named TI silicon feature. Please correct the term if your course defines it differently.</w:t>
      </w:r>
    </w:p>
    <w:p w14:paraId="066DC400">
      <w:pPr>
        <w:pStyle w:val="2"/>
        <w:spacing w:before="360" w:after="160"/>
      </w:pPr>
      <w:r>
        <w:t>0. Conceptual primer: three different controls, three different jobs</w:t>
      </w:r>
    </w:p>
    <w:p w14:paraId="3212DEC5">
      <w:pPr>
        <w:spacing w:after="140"/>
      </w:pPr>
      <w:r>
        <w:rPr>
          <w:b w:val="0"/>
          <w:bCs w:val="0"/>
          <w:i w:val="0"/>
          <w:iCs w:val="0"/>
        </w:rPr>
        <w:t>Before the formal cybersecurity engineering flow, it helps to be clear on what each control actually does, since they're easy to conflate:</w:t>
      </w:r>
    </w:p>
    <w:p w14:paraId="2FDF9CA6">
      <w:pPr>
        <w:pStyle w:val="16"/>
        <w:numPr>
          <w:ilvl w:val="0"/>
          <w:numId w:val="1"/>
        </w:numPr>
        <w:spacing w:after="60"/>
      </w:pPr>
      <w:r>
        <w:t>Secure Boot verifies each boot stage's signature/hash and halts or falls back immediately if verification fails. This is what TDA4VM actually implements (RBL → TIFS → SBL → application).</w:t>
      </w:r>
    </w:p>
    <w:p w14:paraId="7EECEBD1">
      <w:pPr>
        <w:pStyle w:val="16"/>
        <w:numPr>
          <w:ilvl w:val="0"/>
          <w:numId w:val="1"/>
        </w:numPr>
        <w:spacing w:after="60"/>
      </w:pPr>
      <w:r>
        <w:t>Authentic (Measured) Boot verifies each stage too, but instead of halting on failure, it measures and records the result for a later verifier (local policy or remote attestation) to judge — trading immediate enforcement for flexibility.</w:t>
      </w:r>
    </w:p>
    <w:p w14:paraId="6ACBC005">
      <w:pPr>
        <w:pStyle w:val="16"/>
        <w:numPr>
          <w:ilvl w:val="0"/>
          <w:numId w:val="1"/>
        </w:numPr>
        <w:spacing w:after="60"/>
      </w:pPr>
      <w:r>
        <w:t>Runtime Integrity Monitoring (RTIC) is not a boot-time control at all — it runs after boot has already completed, periodically re-checking that code/critical data hasn't been tampered with while the system was running. Neither of the other two controls can see this class of tampering, because they only run once, at boot.</w:t>
      </w:r>
    </w:p>
    <w:p w14:paraId="1ED87624">
      <w:pPr>
        <w:spacing w:before="200" w:after="80"/>
        <w:jc w:val="center"/>
      </w:pPr>
      <w:r>
        <w:drawing>
          <wp:inline distT="0" distB="0" distL="0" distR="0">
            <wp:extent cx="59436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060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0 — Secure boot vs. authentic boot vs. runtime integrity monitoring</w:t>
      </w:r>
    </w:p>
    <w:p w14:paraId="2A52CA5A">
      <w:pPr>
        <w:pStyle w:val="2"/>
        <w:spacing w:before="360" w:after="160"/>
      </w:pPr>
      <w:r>
        <w:t>1. Cybersecurity engineering flow</w:t>
      </w:r>
    </w:p>
    <w:p w14:paraId="1D4991F0">
      <w:pPr>
        <w:spacing w:before="200" w:after="80"/>
        <w:jc w:val="center"/>
      </w:pPr>
      <w:r>
        <w:drawing>
          <wp:inline distT="0" distB="0" distL="0" distR="0">
            <wp:extent cx="5943600" cy="4848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6CA2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1 — Cybersecurity engineering flow for secure/authentic boot and runtime integrity</w:t>
      </w:r>
    </w:p>
    <w:p w14:paraId="78B3B284">
      <w:pPr>
        <w:pStyle w:val="2"/>
        <w:spacing w:before="360" w:after="160"/>
      </w:pPr>
      <w:r>
        <w:t>2. Cybersecurity Goal</w:t>
      </w:r>
    </w:p>
    <w:p w14:paraId="5AAA2E6F">
      <w:pPr>
        <w:spacing w:after="140"/>
      </w:pPr>
      <w:r>
        <w:rPr>
          <w:b w:val="0"/>
          <w:bCs w:val="0"/>
          <w:i w:val="0"/>
          <w:iCs w:val="0"/>
        </w:rPr>
        <w:t>Prevent execution of unauthorized or tampered code on the ADAS ECU at any point in its operational lifecycle — at power-on, immediately after reprogramming, and continuously during runtime — since compromised perception/planning code could cause unsafe ADAS behavior. This goal spans a wider time horizon than secure flashing alone: flashing protects the moment an image is installed, this goal protects every moment the ECU is powered.</w:t>
      </w:r>
    </w:p>
    <w:p w14:paraId="41DBEE50">
      <w:pPr>
        <w:pStyle w:val="2"/>
        <w:spacing w:before="360" w:after="160"/>
      </w:pPr>
      <w:r>
        <w:t>3. Cybersecurity Requirements (item level)</w:t>
      </w:r>
    </w:p>
    <w:p w14:paraId="6553F626">
      <w:pPr>
        <w:pStyle w:val="16"/>
        <w:numPr>
          <w:ilvl w:val="0"/>
          <w:numId w:val="1"/>
        </w:numPr>
        <w:spacing w:after="60"/>
      </w:pPr>
      <w:r>
        <w:t>CSR-1: Verify integrity and authenticity of every boot-stage image before executing it.</w:t>
      </w:r>
    </w:p>
    <w:p w14:paraId="109F491E">
      <w:pPr>
        <w:pStyle w:val="16"/>
        <w:numPr>
          <w:ilvl w:val="0"/>
          <w:numId w:val="1"/>
        </w:numPr>
        <w:spacing w:after="60"/>
      </w:pPr>
      <w:r>
        <w:t>CSR-2: Detect tampering of running code/critical data after boot has already completed.</w:t>
      </w:r>
    </w:p>
    <w:p w14:paraId="2E16123E">
      <w:pPr>
        <w:pStyle w:val="16"/>
        <w:numPr>
          <w:ilvl w:val="0"/>
          <w:numId w:val="1"/>
        </w:numPr>
        <w:spacing w:after="60"/>
      </w:pPr>
      <w:r>
        <w:t>CSR-3: Anchor verification in an immutable hardware root of trust, not a software-only check.</w:t>
      </w:r>
    </w:p>
    <w:p w14:paraId="0C853F04">
      <w:pPr>
        <w:pStyle w:val="16"/>
        <w:numPr>
          <w:ilvl w:val="0"/>
          <w:numId w:val="1"/>
        </w:numPr>
        <w:spacing w:after="60"/>
      </w:pPr>
      <w:r>
        <w:t>CSR-4: Perform boot verification on every power-on/reset, independent of any prior flashing session.</w:t>
      </w:r>
    </w:p>
    <w:p w14:paraId="4735A22A">
      <w:pPr>
        <w:pStyle w:val="16"/>
        <w:numPr>
          <w:ilvl w:val="0"/>
          <w:numId w:val="1"/>
        </w:numPr>
        <w:spacing w:after="60"/>
      </w:pPr>
      <w:r>
        <w:t>CSR-5: Gate post-reprogramming activation on the same trust chain used for ordinary power-on.</w:t>
      </w:r>
    </w:p>
    <w:p w14:paraId="6A155477">
      <w:pPr>
        <w:pStyle w:val="16"/>
        <w:numPr>
          <w:ilvl w:val="0"/>
          <w:numId w:val="1"/>
        </w:numPr>
        <w:spacing w:after="60"/>
      </w:pPr>
      <w:r>
        <w:t>CSR-6: Cover runtime integrity monitoring across power-on, post-reprogramming, and other operational scenarios.</w:t>
      </w:r>
    </w:p>
    <w:p w14:paraId="2C16E734">
      <w:pPr>
        <w:pStyle w:val="2"/>
        <w:spacing w:before="360" w:after="160"/>
      </w:pPr>
      <w:r>
        <w:t>4. Cybersecurity Concept</w:t>
      </w:r>
    </w:p>
    <w:p w14:paraId="3E70C445">
      <w:pPr>
        <w:pStyle w:val="3"/>
        <w:spacing w:before="280" w:after="120"/>
      </w:pPr>
      <w:r>
        <w:t>4.1 Functional Cybersecurity Concept &amp; Requirements</w:t>
      </w:r>
    </w:p>
    <w:p w14:paraId="7C82008B">
      <w:pPr>
        <w:pStyle w:val="16"/>
        <w:numPr>
          <w:ilvl w:val="0"/>
          <w:numId w:val="1"/>
        </w:numPr>
        <w:spacing w:after="60"/>
      </w:pPr>
      <w:r>
        <w:t>FCR-1: Each boot stage cryptographically verifies the next stage before it executes (chain of trust).</w:t>
      </w:r>
    </w:p>
    <w:p w14:paraId="7A921969">
      <w:pPr>
        <w:pStyle w:val="16"/>
        <w:numPr>
          <w:ilvl w:val="0"/>
          <w:numId w:val="1"/>
        </w:numPr>
        <w:spacing w:after="60"/>
      </w:pPr>
      <w:r>
        <w:t>FCR-2: Boot failures halt/fall back (secure boot) or are measured and logged for deferred judgment (authentic boot) — the strategy is a deliberate choice, not interchangeable defaults.</w:t>
      </w:r>
    </w:p>
    <w:p w14:paraId="165CDC8A">
      <w:pPr>
        <w:pStyle w:val="16"/>
        <w:numPr>
          <w:ilvl w:val="0"/>
          <w:numId w:val="1"/>
        </w:numPr>
        <w:spacing w:after="60"/>
      </w:pPr>
      <w:r>
        <w:t>FCR-3: An immutable, hardware-anchored first-stage verifier initiates the entire chain.</w:t>
      </w:r>
    </w:p>
    <w:p w14:paraId="17326255">
      <w:pPr>
        <w:pStyle w:val="16"/>
        <w:numPr>
          <w:ilvl w:val="0"/>
          <w:numId w:val="1"/>
        </w:numPr>
        <w:spacing w:after="60"/>
      </w:pPr>
      <w:r>
        <w:t>FCR-4: Runtime monitoring re-validates code integrity independent of and after boot-time checks.</w:t>
      </w:r>
    </w:p>
    <w:p w14:paraId="52B52B9F">
      <w:pPr>
        <w:pStyle w:val="16"/>
        <w:numPr>
          <w:ilvl w:val="0"/>
          <w:numId w:val="1"/>
        </w:numPr>
        <w:spacing w:after="60"/>
      </w:pPr>
      <w:r>
        <w:t>FCR-5: Post-flash activation reuses the same chain-of-trust verification as normal boot, not a shortcut.</w:t>
      </w:r>
    </w:p>
    <w:p w14:paraId="00025B8F">
      <w:pPr>
        <w:pStyle w:val="3"/>
        <w:spacing w:before="280" w:after="120"/>
      </w:pPr>
      <w:r>
        <w:t>4.2 Technical Cybersecurity Concept &amp; Requirements (TDA4VM-specific)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1AD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0C447C"/>
          </w:tcPr>
          <w:p w14:paraId="4DEFF832">
            <w:r>
              <w:rPr>
                <w:b/>
                <w:bCs/>
                <w:color w:val="FFFFFF"/>
                <w:sz w:val="18"/>
                <w:szCs w:val="18"/>
              </w:rPr>
              <w:t>Functional req.</w:t>
            </w:r>
          </w:p>
        </w:tc>
        <w:tc>
          <w:tcPr>
            <w:tcW w:w="7360" w:type="dxa"/>
            <w:shd w:val="clear" w:color="auto" w:fill="0C447C"/>
          </w:tcPr>
          <w:p w14:paraId="6F90BA00">
            <w:r>
              <w:rPr>
                <w:b/>
                <w:bCs/>
                <w:color w:val="FFFFFF"/>
                <w:sz w:val="18"/>
                <w:szCs w:val="18"/>
              </w:rPr>
              <w:t>Technical realization on TDA4VM</w:t>
            </w:r>
          </w:p>
        </w:tc>
      </w:tr>
      <w:tr w14:paraId="13974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E538C28">
            <w:r>
              <w:rPr>
                <w:b w:val="0"/>
                <w:bCs w:val="0"/>
                <w:color w:val="1A1A1A"/>
                <w:sz w:val="18"/>
                <w:szCs w:val="18"/>
              </w:rPr>
              <w:t>FCR-1 / FCR-3</w:t>
            </w:r>
          </w:p>
        </w:tc>
        <w:tc>
          <w:tcPr>
            <w:tcW w:w="7360" w:type="dxa"/>
          </w:tcPr>
          <w:p w14:paraId="7D93F8AA">
            <w:r>
              <w:rPr>
                <w:b w:val="0"/>
                <w:bCs w:val="0"/>
                <w:color w:val="1A1A1A"/>
                <w:sz w:val="18"/>
                <w:szCs w:val="18"/>
              </w:rPr>
              <w:t>RBL (ROM, immutable) is the first code executed at power-on; it authenticates TIFS via X.509 signature (SHA-256 + RSA-4K/ECC) before loading it. TIFS then authenticates the R5F SBL, and the SBL/TIFS chain authenticates application images before releasing R5F/A72.</w:t>
            </w:r>
          </w:p>
        </w:tc>
      </w:tr>
      <w:tr w14:paraId="610C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F025A1F">
            <w:r>
              <w:rPr>
                <w:b w:val="0"/>
                <w:bCs w:val="0"/>
                <w:color w:val="1A1A1A"/>
                <w:sz w:val="18"/>
                <w:szCs w:val="18"/>
              </w:rPr>
              <w:t>FCR-2</w:t>
            </w:r>
          </w:p>
        </w:tc>
        <w:tc>
          <w:tcPr>
            <w:tcW w:w="7360" w:type="dxa"/>
          </w:tcPr>
          <w:p w14:paraId="7C49C1B8">
            <w:r>
              <w:rPr>
                <w:b w:val="0"/>
                <w:bCs w:val="0"/>
                <w:color w:val="1A1A1A"/>
                <w:sz w:val="18"/>
                <w:szCs w:val="18"/>
              </w:rPr>
              <w:t>TDA4VM's documented behavior is secure boot proper (halt/fallback on failure) at every stage — not measured/authentic boot. Authentic-boot-style deferred attestation is presented here as an architectural option (e.g., writing stage hashes to a secure log for later remote attestation), not a feature confirmed in TI's public documentation.</w:t>
            </w:r>
          </w:p>
        </w:tc>
      </w:tr>
      <w:tr w14:paraId="4BD1D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58FE321">
            <w:r>
              <w:rPr>
                <w:b w:val="0"/>
                <w:bCs w:val="0"/>
                <w:color w:val="1A1A1A"/>
                <w:sz w:val="18"/>
                <w:szCs w:val="18"/>
              </w:rPr>
              <w:t>FCR-4</w:t>
            </w:r>
          </w:p>
        </w:tc>
        <w:tc>
          <w:tcPr>
            <w:tcW w:w="7360" w:type="dxa"/>
          </w:tcPr>
          <w:p w14:paraId="54B5FD9A">
            <w:r>
              <w:rPr>
                <w:b w:val="0"/>
                <w:bCs w:val="0"/>
                <w:color w:val="1A1A1A"/>
                <w:sz w:val="18"/>
                <w:szCs w:val="18"/>
              </w:rPr>
              <w:t>Built from available primitives: SA2UL SHA-256 hashing of a designated code/data region, compared against a reference value in NvM established at the last verified boot. This is the RTIC/"RTMD" pattern — an architecture applied to TDA4VM's primitives, not a named, confirmed TI silicon feature.</w:t>
            </w:r>
          </w:p>
        </w:tc>
      </w:tr>
      <w:tr w14:paraId="4399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5C1A95E">
            <w:r>
              <w:rPr>
                <w:b w:val="0"/>
                <w:bCs w:val="0"/>
                <w:color w:val="1A1A1A"/>
                <w:sz w:val="18"/>
                <w:szCs w:val="18"/>
              </w:rPr>
              <w:t>FCR-5</w:t>
            </w:r>
          </w:p>
        </w:tc>
        <w:tc>
          <w:tcPr>
            <w:tcW w:w="7360" w:type="dxa"/>
          </w:tcPr>
          <w:p w14:paraId="780BF1E9">
            <w:r>
              <w:rPr>
                <w:b w:val="0"/>
                <w:bCs w:val="0"/>
                <w:color w:val="1A1A1A"/>
                <w:sz w:val="18"/>
                <w:szCs w:val="18"/>
              </w:rPr>
              <w:t>The ECU reset that ends a flashing session (Section covered separately in the secure flashing document) triggers the identical RBL→TIFS→SBL chain — reprogramming does not get a separate, weaker verification path.</w:t>
            </w:r>
          </w:p>
        </w:tc>
      </w:tr>
    </w:tbl>
    <w:p w14:paraId="474C2A3C">
      <w:pPr>
        <w:pStyle w:val="2"/>
        <w:spacing w:before="360" w:after="160"/>
      </w:pPr>
      <w:r>
        <w:t>5. System Cybersecurity Architecture</w:t>
      </w:r>
    </w:p>
    <w:p w14:paraId="0063044B">
      <w:pPr>
        <w:spacing w:before="200" w:after="80"/>
        <w:jc w:val="center"/>
      </w:pPr>
      <w:r>
        <w:drawing>
          <wp:inline distT="0" distB="0" distL="0" distR="0">
            <wp:extent cx="594360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D77D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2 — System static architecture</w:t>
      </w:r>
    </w:p>
    <w:p w14:paraId="31C504A1">
      <w:pPr>
        <w:spacing w:after="140"/>
      </w:pPr>
      <w:r>
        <w:rPr>
          <w:b w:val="0"/>
          <w:bCs w:val="0"/>
          <w:i w:val="0"/>
          <w:iCs w:val="0"/>
        </w:rPr>
        <w:t>This topic is almost entirely on-chip: unlike secure flashing or diagnostics, no tester or vehicle-network interaction is involved in boot verification itself — it completes before any diagnostic session is even possible. The OEM backend's role is limited to having already signed the images (the same signing infrastructure covered in the secure flashing document); there is no separate system-level dynamic flow to diagram here beyond that reuse.</w:t>
      </w:r>
    </w:p>
    <w:p w14:paraId="283D1920">
      <w:pPr>
        <w:pStyle w:val="2"/>
        <w:spacing w:before="360" w:after="160"/>
      </w:pPr>
      <w:r>
        <w:t>6. SW Requirements &amp; HW Requirements (allocated)</w:t>
      </w:r>
    </w:p>
    <w:p w14:paraId="1688AFE5">
      <w:pPr>
        <w:pStyle w:val="3"/>
        <w:spacing w:before="280" w:after="120"/>
      </w:pPr>
      <w:r>
        <w:t>6.1 Software requirements</w:t>
      </w:r>
    </w:p>
    <w:p w14:paraId="270E0B25">
      <w:pPr>
        <w:pStyle w:val="16"/>
        <w:numPr>
          <w:ilvl w:val="0"/>
          <w:numId w:val="1"/>
        </w:numPr>
        <w:spacing w:after="60"/>
      </w:pPr>
      <w:r>
        <w:t>A runtime monitor task shall be scheduled (periodically and/or on wake-from-low-power) to re-check the integrity of designated code/critical-data regions.</w:t>
      </w:r>
    </w:p>
    <w:p w14:paraId="48AA1A58">
      <w:pPr>
        <w:pStyle w:val="16"/>
        <w:numPr>
          <w:ilvl w:val="0"/>
          <w:numId w:val="1"/>
        </w:numPr>
        <w:spacing w:after="60"/>
      </w:pPr>
      <w:r>
        <w:t>The monitor shall not perform its own cryptographic operations directly — hashing shall be delegated to SA2UL, consistent with the delegation pattern used for flashing and diagnostics.</w:t>
      </w:r>
    </w:p>
    <w:p w14:paraId="4F220F6C">
      <w:pPr>
        <w:pStyle w:val="16"/>
        <w:numPr>
          <w:ilvl w:val="0"/>
          <w:numId w:val="1"/>
        </w:numPr>
        <w:spacing w:after="60"/>
      </w:pPr>
      <w:r>
        <w:t>The response to a detected integrity violation shall be a configured policy decision (safe degradation vs. forced reset), coordinated with the safety concept — not a default hard-coded action.</w:t>
      </w:r>
    </w:p>
    <w:p w14:paraId="50D3A53F">
      <w:pPr>
        <w:pStyle w:val="3"/>
        <w:spacing w:before="280" w:after="120"/>
      </w:pPr>
      <w:r>
        <w:t>6.2 Hardware requirements</w:t>
      </w:r>
    </w:p>
    <w:p w14:paraId="1C2E3462">
      <w:pPr>
        <w:pStyle w:val="16"/>
        <w:numPr>
          <w:ilvl w:val="0"/>
          <w:numId w:val="1"/>
        </w:numPr>
        <w:spacing w:after="60"/>
      </w:pPr>
      <w:r>
        <w:t>The ROM Bootloader shall authenticate TIFS via X.509 signature on every power-on cycle, with no bypass path on HS-SE devices.</w:t>
      </w:r>
    </w:p>
    <w:p w14:paraId="1CA56672">
      <w:pPr>
        <w:pStyle w:val="16"/>
        <w:numPr>
          <w:ilvl w:val="0"/>
          <w:numId w:val="1"/>
        </w:numPr>
        <w:spacing w:after="60"/>
      </w:pPr>
      <w:r>
        <w:t>TIFS shall authenticate each subsequent boot stage (SBL, application images) before releasing the corresponding core, and shall check the SWREV anti-rollback counter at each stage.</w:t>
      </w:r>
    </w:p>
    <w:p w14:paraId="239E44A0">
      <w:pPr>
        <w:pStyle w:val="16"/>
        <w:numPr>
          <w:ilvl w:val="0"/>
          <w:numId w:val="1"/>
        </w:numPr>
        <w:spacing w:after="60"/>
      </w:pPr>
      <w:r>
        <w:t>SA2UL shall support both boot-time signature verification and lightweight runtime hash computation using the same hardware engine.</w:t>
      </w:r>
    </w:p>
    <w:p w14:paraId="7F81A647">
      <w:pPr>
        <w:pStyle w:val="16"/>
        <w:numPr>
          <w:ilvl w:val="0"/>
          <w:numId w:val="1"/>
        </w:numPr>
        <w:spacing w:after="60"/>
      </w:pPr>
      <w:r>
        <w:t>No reset source (power-on, watchdog, software-triggered) shall bypass the boot verification chain; only a preserved-context low-power wake may not trigger a full re-verification, and this must be explicitly confirmed per low-power mode.</w:t>
      </w:r>
    </w:p>
    <w:p w14:paraId="3549D71D">
      <w:pPr>
        <w:pStyle w:val="2"/>
        <w:spacing w:before="360" w:after="160"/>
      </w:pPr>
      <w:r>
        <w:t>7. Software Architecture</w:t>
      </w:r>
    </w:p>
    <w:p w14:paraId="30062FB0">
      <w:pPr>
        <w:spacing w:after="140"/>
      </w:pPr>
      <w:r>
        <w:rPr>
          <w:b w:val="0"/>
          <w:bCs w:val="0"/>
          <w:i w:val="0"/>
          <w:iCs w:val="0"/>
        </w:rPr>
        <w:t>As with the JTAG/debug topic, there is limited application-software architecture for secure/authentic boot itself — that verification happens in ROM/TIFS, below the AUTOSAR layer. The one genuine software-architecture component this topic introduces is the runtime integrity monitor, covered below.</w:t>
      </w:r>
    </w:p>
    <w:p w14:paraId="4F571D39">
      <w:pPr>
        <w:spacing w:before="200" w:after="80"/>
        <w:jc w:val="center"/>
      </w:pPr>
      <w:r>
        <w:drawing>
          <wp:inline distT="0" distB="0" distL="0" distR="0">
            <wp:extent cx="5943600" cy="2905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C367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 — Software dynamic flow: runtime integrity monitoring cycle</w:t>
      </w:r>
    </w:p>
    <w:p w14:paraId="3FC825D0">
      <w:pPr>
        <w:spacing w:after="140"/>
      </w:pPr>
      <w:r>
        <w:rPr>
          <w:b w:val="0"/>
          <w:bCs w:val="0"/>
          <w:i w:val="0"/>
          <w:iCs w:val="0"/>
        </w:rPr>
        <w:t>Note the asymmetry deliberately built into this flow: the monitor performs a cheap hash comparison against an already-established reference, not a full signature re-verification. That's not a shortcut — it's correct given what's actually needed here (see Section 8.2). It's also why the response to a violation is a policy decision rather than an automatic hard halt: unlike a boot-time failure (where nothing is running yet, so halting is safe), a runtime violation means an ADAS function is already active, and abruptly stopping it can itself create a safety hazard. This is a genuine security/safety trade-off, not a purely security-driven choice.</w:t>
      </w:r>
    </w:p>
    <w:p w14:paraId="4D6082A7">
      <w:pPr>
        <w:pStyle w:val="2"/>
        <w:spacing w:before="360" w:after="160"/>
      </w:pPr>
      <w:r>
        <w:t>8. Hardware Architecture</w:t>
      </w:r>
    </w:p>
    <w:p w14:paraId="773472F4">
      <w:pPr>
        <w:pStyle w:val="3"/>
        <w:spacing w:before="280" w:after="120"/>
      </w:pPr>
      <w:r>
        <w:t>8.1 Hardware static architecture</w:t>
      </w:r>
    </w:p>
    <w:p w14:paraId="21DC31E7">
      <w:pPr>
        <w:spacing w:before="200" w:after="80"/>
        <w:jc w:val="center"/>
      </w:pPr>
      <w:r>
        <w:drawing>
          <wp:inline distT="0" distB="0" distL="0" distR="0">
            <wp:extent cx="5943600" cy="306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8944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4 — Hardware static architecture</w:t>
      </w:r>
    </w:p>
    <w:p w14:paraId="57E0018F">
      <w:pPr>
        <w:pStyle w:val="3"/>
        <w:spacing w:before="280" w:after="120"/>
      </w:pPr>
      <w:r>
        <w:t>8.2 Hardware dynamic architecture: three scenarios</w:t>
      </w:r>
    </w:p>
    <w:p w14:paraId="4A844B91">
      <w:pPr>
        <w:spacing w:before="200" w:after="80"/>
        <w:jc w:val="center"/>
      </w:pPr>
      <w:r>
        <w:drawing>
          <wp:inline distT="0" distB="0" distL="0" distR="0">
            <wp:extent cx="5943600" cy="3743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593F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5 — Hardware dynamic architecture across power-on, reprogramming, and other scenarios</w:t>
      </w:r>
    </w:p>
    <w:p w14:paraId="6A2C829C">
      <w:pPr>
        <w:spacing w:after="140"/>
      </w:pPr>
      <w:r>
        <w:rPr>
          <w:b w:val="0"/>
          <w:bCs w:val="0"/>
          <w:i w:val="0"/>
          <w:iCs w:val="0"/>
        </w:rPr>
        <w:t>Scenario A (power-on) and Scenario B (reprogramming) are architecturally identical — the second is not a special case of the first, it IS the first, triggered by a different event. This is deliberate: giving reprogramming a distinct, possibly weaker verification path would be a real vulnerability, since it would mean the one moment attackers most want to compromise (right after a flash) is checked less rigorously than every other boot.</w:t>
      </w:r>
    </w:p>
    <w:p w14:paraId="530D9501">
      <w:pPr>
        <w:spacing w:after="140"/>
      </w:pPr>
      <w:r>
        <w:rPr>
          <w:b/>
          <w:bCs/>
          <w:i w:val="0"/>
          <w:iCs w:val="0"/>
        </w:rPr>
        <w:t>Scenario C is where this document earns its keep beyond restating the flashing document's boot chain: a watchdog reset behaves identically to any other reset (full re-verification, no exceptions) — but a wake from a low-power/retention state, where execution context was preserved rather than fully reset, may not re-run the boot chain at all. That gap is not a flaw to be silently accepted or a reason to distrust the architecture — it's the specific, concrete reason Section 7's runtime integrity monitoring exists as a separate control rather than being redundant with secure boot.</w:t>
      </w:r>
    </w:p>
    <w:p w14:paraId="516487C6">
      <w:pPr>
        <w:spacing w:after="140"/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B823416"/>
    <w:rsid w:val="7E1A13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27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2026-08-01T18:21:00Z</dcterms:created>
  <dc:creator>Un-named</dc:creator>
  <cp:lastModifiedBy>rajar</cp:lastModifiedBy>
  <dcterms:modified xsi:type="dcterms:W3CDTF">2026-08-10T18:56:02Z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7780870EF28345C39830A61367E056EA_12</vt:lpwstr>
  </property>
</Properties>
</file>