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rPr>
        <w:t>DWI Prompt Optimizer</w:t>
      </w:r>
    </w:p>
    <w:tbl>
      <w:tblPr>
        <w:tblW w:type="auto" w:w="0"/>
        <w:tblLook w:firstColumn="1" w:firstRow="1" w:lastColumn="0" w:lastRow="0" w:noHBand="0" w:noVBand="1" w:val="04A0"/>
      </w:tblPr>
      <w:tblGrid>
        <w:gridCol w:w="9866"/>
      </w:tblGrid>
      <w:tr>
        <w:trPr>
          <w:trHeight w:val="91" w:hRule="exact"/>
        </w:trPr>
        <w:tc>
          <w:tcPr>
            <w:tcW w:type="dxa" w:w="2835"/>
            <w:shd w:fill="008C8C"/>
          </w:tcPr>
          <w:p>
            <w:pPr>
              <w:keepLines/>
            </w:pPr>
          </w:p>
        </w:tc>
      </w:tr>
    </w:tbl>
    <w:p>
      <w:pPr>
        <w:spacing w:after="0"/>
      </w:pPr>
    </w:p>
    <w:p>
      <w:pPr>
        <w:pStyle w:val="Subtitle"/>
        <w:keepNext/>
      </w:pPr>
      <w:r>
        <w:rPr>
          <w:b w:val="0"/>
        </w:rPr>
        <w:t>Technical POC, Management Extension, and Governance Report</w:t>
      </w:r>
    </w:p>
    <w:p>
      <w:pPr>
        <w:pStyle w:val="CoverMeta"/>
      </w:pPr>
      <w:r>
        <w:rPr>
          <w:b/>
        </w:rPr>
        <w:t>Evidence snapshot:</w:t>
      </w:r>
      <w:r>
        <w:rPr>
          <w:b w:val="0"/>
        </w:rPr>
        <w:t xml:space="preserve"> 1 September 2026</w:t>
      </w:r>
    </w:p>
    <w:p>
      <w:pPr>
        <w:pStyle w:val="CoverMeta"/>
      </w:pPr>
      <w:r>
        <w:rPr>
          <w:b/>
        </w:rPr>
        <w:t>Audience:</w:t>
      </w:r>
      <w:r>
        <w:rPr>
          <w:b w:val="0"/>
        </w:rPr>
        <w:t xml:space="preserve"> engineering, architecture, product, delivery leadership, AI CoE, QA, and technical program stakeholders</w:t>
      </w:r>
    </w:p>
    <w:p>
      <w:pPr>
        <w:pStyle w:val="CoverMeta"/>
      </w:pPr>
      <w:r>
        <w:rPr>
          <w:b/>
        </w:rPr>
        <w:t>Repository:</w:t>
      </w:r>
      <w:r>
        <w:rPr>
          <w:b w:val="0"/>
        </w:rPr>
        <w:t xml:space="preserve"> </w:t>
      </w:r>
      <w:r>
        <w:rPr>
          <w:rFonts w:ascii="Aptos Mono" w:hAnsi="Aptos Mono"/>
          <w:color w:val="17365D"/>
          <w:sz w:val="16"/>
        </w:rPr>
        <w:t>vinodsalina-cpu/dwi</w:t>
      </w:r>
    </w:p>
    <w:p>
      <w:pPr>
        <w:pStyle w:val="CoverMeta"/>
      </w:pPr>
      <w:r>
        <w:rPr>
          <w:b/>
        </w:rPr>
        <w:t>Functional branch:</w:t>
      </w:r>
      <w:r>
        <w:rPr>
          <w:b w:val="0"/>
        </w:rPr>
        <w:t xml:space="preserve"> </w:t>
      </w:r>
      <w:r>
        <w:rPr>
          <w:rFonts w:ascii="Aptos Mono" w:hAnsi="Aptos Mono"/>
          <w:color w:val="17365D"/>
          <w:sz w:val="16"/>
        </w:rPr>
        <w:t>feature/po-05-product-hardening</w:t>
      </w:r>
    </w:p>
    <w:p>
      <w:pPr>
        <w:pStyle w:val="CoverMeta"/>
      </w:pPr>
      <w:r>
        <w:rPr>
          <w:b/>
        </w:rPr>
        <w:t>POC implementation evidence baseline:</w:t>
      </w:r>
      <w:r>
        <w:rPr>
          <w:b w:val="0"/>
        </w:rPr>
        <w:t xml:space="preserve"> </w:t>
      </w:r>
      <w:r>
        <w:rPr>
          <w:rFonts w:ascii="Aptos Mono" w:hAnsi="Aptos Mono"/>
          <w:color w:val="17365D"/>
          <w:sz w:val="16"/>
        </w:rPr>
        <w:t>5088dbf6e5fdeea2415b991c429de8e5229d7a7b</w:t>
      </w:r>
    </w:p>
    <w:p>
      <w:pPr>
        <w:pStyle w:val="CoverMeta"/>
      </w:pPr>
      <w:r>
        <w:rPr>
          <w:b/>
        </w:rPr>
        <w:t>Document status:</w:t>
      </w:r>
      <w:r>
        <w:rPr>
          <w:b w:val="0"/>
        </w:rPr>
        <w:t xml:space="preserve"> final professional brief; local POC evidence plus explicitly proposed future direction</w:t>
      </w:r>
    </w:p>
    <w:tbl>
      <w:tblPr>
        <w:tblW w:type="auto" w:w="0"/>
        <w:jc w:val="center"/>
        <w:tblLayout w:type="autofit"/>
        <w:tblLook w:firstColumn="1" w:firstRow="1" w:lastColumn="0" w:lastRow="0" w:noHBand="0" w:noVBand="1" w:val="04A0"/>
      </w:tblPr>
      <w:tblGrid>
        <w:gridCol w:w="9866"/>
      </w:tblGrid>
      <w:tr>
        <w:tc>
          <w:tcPr>
            <w:tcW w:type="dxa" w:w="9866"/>
            <w:shd w:fill="EDF3F8"/>
            <w:tcMar>
              <w:top w:w="110" w:type="dxa"/>
              <w:start w:w="150" w:type="dxa"/>
              <w:bottom w:w="110" w:type="dxa"/>
              <w:end w:w="150" w:type="dxa"/>
            </w:tcMar>
          </w:tcPr>
          <w:p>
            <w:pPr>
              <w:keepLines/>
              <w:spacing w:after="0"/>
            </w:pPr>
            <w:r>
              <w:rPr>
                <w:b/>
                <w:color w:val="17365D"/>
                <w:sz w:val="18"/>
              </w:rPr>
              <w:t>Scope boundary.</w:t>
            </w:r>
            <w:r>
              <w:rPr>
                <w:b w:val="0"/>
                <w:color w:val="17365D"/>
                <w:sz w:val="18"/>
              </w:rPr>
              <w:t xml:space="preserve"> Current implementation and future extension are separated throughout this report. PMS integration, sprint-informed token allocation, aggregated management feedback, production rollout, and real-provider semantic quality are not current product or qualification claims.</w:t>
            </w:r>
          </w:p>
        </w:tc>
      </w:tr>
    </w:tbl>
    <w:p>
      <w:pPr>
        <w:spacing w:after="0"/>
      </w:pPr>
    </w:p>
    <w:p>
      <w:r>
        <w:br w:type="page"/>
      </w:r>
    </w:p>
    <w:p>
      <w:pPr>
        <w:pStyle w:val="Heading1"/>
        <w:keepNext/>
      </w:pPr>
      <w:r>
        <w:rPr>
          <w:b w:val="0"/>
        </w:rPr>
        <w:t>Executive summary</w:t>
      </w:r>
    </w:p>
    <w:p>
      <w:r>
        <w:rPr>
          <w:b w:val="0"/>
        </w:rPr>
        <w:t>DWI is a post-login, consent-based project-initialization experience. Its first responsibility is to establish a persistent knowledge layer for the active project: identify the project root, disclose bounded inspection, collect only the evidence needed for a useful project brief, let the developer review and correct that brief, and persist the approved result. Prompt Optimizer builds on that reviewed project knowledge; it is not a generic prompt editor.</w:t>
      </w:r>
    </w:p>
    <w:p>
      <w:r>
        <w:rPr>
          <w:b w:val="0"/>
        </w:rPr>
        <w:t>The current local POC standardizes a meaningful part of the AI interaction contract. It brings approved project knowledge, structured task input, deterministic source planning, assumptions, material-gap detection, reviewable composition, explicit human decisions, durable workspace-scoped state, and scoped reset into one controlled workflow. Prompt Optimizer is the sole visible product identity, Activity Bar container, native webview, and contributed open command. Home and Project Meta Context remain internal destinations within that surface.</w:t>
      </w:r>
    </w:p>
    <w:p>
      <w:r>
        <w:rPr>
          <w:b w:val="0"/>
        </w:rPr>
        <w:t xml:space="preserve">The implementation baseline is </w:t>
      </w:r>
      <w:r>
        <w:rPr>
          <w:rFonts w:ascii="Aptos Mono" w:hAnsi="Aptos Mono"/>
          <w:color w:val="17365D"/>
          <w:sz w:val="16"/>
        </w:rPr>
        <w:t>5088dbf6e5fdeea2415b991c429de8e5229d7a7b</w:t>
      </w:r>
      <w:r>
        <w:rPr>
          <w:b w:val="0"/>
        </w:rPr>
        <w:t xml:space="preserve">. At the documentation snapshot, local and live remote </w:t>
      </w:r>
      <w:r>
        <w:rPr>
          <w:rFonts w:ascii="Aptos Mono" w:hAnsi="Aptos Mono"/>
          <w:color w:val="17365D"/>
          <w:sz w:val="16"/>
        </w:rPr>
        <w:t>feature/po-05-product-hardening</w:t>
      </w:r>
      <w:r>
        <w:rPr>
          <w:b w:val="0"/>
        </w:rPr>
        <w:t xml:space="preserve"> resolved to that same SHA with zero divergence; the exact-head GitHub </w:t>
      </w:r>
      <w:r>
        <w:rPr>
          <w:b/>
        </w:rPr>
        <w:t>Verify DWI</w:t>
      </w:r>
      <w:r>
        <w:rPr>
          <w:b w:val="0"/>
        </w:rPr>
        <w:t xml:space="preserve"> run </w:t>
      </w:r>
      <w:r>
        <w:rPr>
          <w:rFonts w:ascii="Aptos Mono" w:hAnsi="Aptos Mono"/>
          <w:color w:val="17365D"/>
          <w:sz w:val="16"/>
        </w:rPr>
        <w:t>33474904618</w:t>
      </w:r>
      <w:r>
        <w:rPr>
          <w:b w:val="0"/>
        </w:rPr>
        <w:t xml:space="preserve"> succeeded. The baseline records 421 passing repository tests, all six package typechecks, unchanged schema, a successful build and 387-file VSIX, same-process installed verification, narrow-layout review evidence, and preserved earlier installed restart/resume/reset qualification. The generated VSIX is 684,130 bytes with SHA-256 </w:t>
      </w:r>
      <w:r>
        <w:rPr>
          <w:rFonts w:ascii="Aptos Mono" w:hAnsi="Aptos Mono"/>
          <w:color w:val="17365D"/>
          <w:sz w:val="16"/>
        </w:rPr>
        <w:t>954ce0102754b79f7b3503bfe0c9053ba30ae21ab95177cc55d28c7643d2567b</w:t>
      </w:r>
      <w:r>
        <w:rPr>
          <w:b w:val="0"/>
        </w:rPr>
        <w:t>.</w:t>
      </w:r>
    </w:p>
    <w:p>
      <w:r>
        <w:rPr>
          <w:b w:val="0"/>
        </w:rPr>
        <w:t>Three boundaries remain material:</w:t>
      </w:r>
    </w:p>
    <w:p>
      <w:pPr>
        <w:pStyle w:val="ListBullet"/>
      </w:pPr>
      <w:r>
        <w:rPr>
          <w:b/>
        </w:rPr>
        <w:t>Focused clarification is partial.</w:t>
      </w:r>
      <w:r>
        <w:rPr>
          <w:b w:val="0"/>
        </w:rPr>
        <w:t xml:space="preserve"> DWI detects and displays material questions, and domain code can represent and apply answers, but the installed product does not yet complete the focused one-question-at-a-time answer, skip, version-binding, and safe-application journey.</w:t>
      </w:r>
    </w:p>
    <w:p>
      <w:pPr>
        <w:pStyle w:val="ListBullet"/>
      </w:pPr>
      <w:r>
        <w:rPr>
          <w:b/>
        </w:rPr>
        <w:t>The latest cross-process continuity rerun is inconclusive.</w:t>
      </w:r>
      <w:r>
        <w:rPr>
          <w:b w:val="0"/>
        </w:rPr>
        <w:t xml:space="preserve"> The current layout correction could not obtain a fresh cross-process result because macOS System Events exposed no disposable VS Code window or sheet for the native consent click. No product assertion ran and no provider call occurred. Earlier qualified restart/resume/reset evidence remains preserved but is not silently reassigned to the later exact tree.</w:t>
      </w:r>
    </w:p>
    <w:p>
      <w:pPr>
        <w:pStyle w:val="ListBullet"/>
      </w:pPr>
      <w:r>
        <w:rPr>
          <w:b/>
        </w:rPr>
        <w:t>Real semantic improvement is unqualified.</w:t>
      </w:r>
      <w:r>
        <w:rPr>
          <w:b w:val="0"/>
        </w:rPr>
        <w:t xml:space="preserve"> The single authorized readiness request exceeded the frozen 12,000-token ceiling. Calibration and fixed-executor comparison did not start, and no retry is authorized.</w:t>
      </w:r>
    </w:p>
    <w:p>
      <w:r>
        <w:rPr>
          <w:b w:val="0"/>
        </w:rPr>
        <w:t>Beyond the current POC, DWI offers a potential control point for consistent, governed AI-assisted delivery. After the baseline is stable, an optional PMS adapter could contribute minimal approved sprint and task attributes to a governance policy that produces a capped token-budget parameter for the internal composition engine. A separate consented, content-free feedback layer could aggregate outcome signals for developers, teams, SDLC operations, management, and an AI CoE. Budget would remain a bounded input rather than spending authority; feedback would support product and process improvement rather than employee surveillance.</w:t>
      </w:r>
    </w:p>
    <w:p>
      <w:pPr>
        <w:pStyle w:val="Heading2"/>
        <w:keepNext/>
      </w:pPr>
      <w:r>
        <w:rPr>
          <w:b w:val="0"/>
        </w:rPr>
        <w:t>Recommended conclusion</w:t>
      </w:r>
    </w:p>
    <w:p>
      <w:r>
        <w:rPr>
          <w:b w:val="0"/>
        </w:rPr>
        <w:t>Use the current POC for a representative management demonstration and a structured usefulness assessment. Complete exact-tree continuity evidence and the focused clarification slice before treating the interaction baseline as stable. In parallel, define—but do not yet operationalize—the PMS adapter, budget-policy precedence, privacy-safe feedback event model, and pilot success measures. A bounded pilot should follow only after these controls are reviewed and offline or shadow allocation succeeds.</w:t>
      </w:r>
    </w:p>
    <w:p>
      <w:r>
        <w:br w:type="page"/>
      </w:r>
    </w:p>
    <w:p>
      <w:pPr>
        <w:pStyle w:val="Heading1"/>
        <w:keepNext/>
      </w:pPr>
      <w:r>
        <w:rPr>
          <w:b w:val="0"/>
        </w:rPr>
        <w:t>1. Scope, method, and evidence labels</w:t>
      </w:r>
    </w:p>
    <w:p>
      <w:pPr>
        <w:pStyle w:val="Heading2"/>
        <w:keepNext/>
      </w:pPr>
      <w:r>
        <w:rPr>
          <w:b w:val="0"/>
        </w:rPr>
        <w:t>1.1 Sources used</w:t>
      </w:r>
    </w:p>
    <w:p>
      <w:r>
        <w:rPr>
          <w:b w:val="0"/>
        </w:rPr>
        <w:t>This report cross-checks management direction against the current repository and program records:</w:t>
      </w:r>
    </w:p>
    <w:p>
      <w:pPr>
        <w:pStyle w:val="ListBullet"/>
      </w:pPr>
      <w:r>
        <w:rPr>
          <w:rFonts w:ascii="Aptos Mono" w:hAnsi="Aptos Mono"/>
          <w:color w:val="17365D"/>
          <w:sz w:val="16"/>
        </w:rPr>
        <w:t>AGENTS.md</w:t>
      </w:r>
      <w:r>
        <w:rPr>
          <w:b w:val="0"/>
        </w:rPr>
        <w:t xml:space="preserve"> for the consent-first product direction;</w:t>
      </w:r>
    </w:p>
    <w:p>
      <w:pPr>
        <w:pStyle w:val="ListBullet"/>
      </w:pPr>
      <w:r>
        <w:rPr>
          <w:rFonts w:ascii="Aptos Mono" w:hAnsi="Aptos Mono"/>
          <w:color w:val="17365D"/>
          <w:sz w:val="16"/>
        </w:rPr>
        <w:t>docs/prompt-optimizer-program/context.md</w:t>
      </w:r>
      <w:r>
        <w:rPr>
          <w:b w:val="0"/>
        </w:rPr>
        <w:t xml:space="preserve"> for compact current truth;</w:t>
      </w:r>
    </w:p>
    <w:p>
      <w:pPr>
        <w:pStyle w:val="ListBullet"/>
      </w:pPr>
      <w:r>
        <w:rPr>
          <w:rFonts w:ascii="Aptos Mono" w:hAnsi="Aptos Mono"/>
          <w:color w:val="17365D"/>
          <w:sz w:val="16"/>
        </w:rPr>
        <w:t>docs/prompt-optimizer-program/progress.md</w:t>
      </w:r>
      <w:r>
        <w:rPr>
          <w:b w:val="0"/>
        </w:rPr>
        <w:t xml:space="preserve"> for completed, pending, and blocked items;</w:t>
      </w:r>
    </w:p>
    <w:p>
      <w:pPr>
        <w:pStyle w:val="ListBullet"/>
      </w:pPr>
      <w:r>
        <w:rPr>
          <w:rFonts w:ascii="Aptos Mono" w:hAnsi="Aptos Mono"/>
          <w:color w:val="17365D"/>
          <w:sz w:val="16"/>
        </w:rPr>
        <w:t>docs/prompt-optimizer-program/expected.md</w:t>
      </w:r>
      <w:r>
        <w:rPr>
          <w:b w:val="0"/>
        </w:rPr>
        <w:t xml:space="preserve"> for the active acceptance contract;</w:t>
      </w:r>
    </w:p>
    <w:p>
      <w:pPr>
        <w:pStyle w:val="ListBullet"/>
      </w:pPr>
      <w:r>
        <w:rPr>
          <w:rFonts w:ascii="Aptos Mono" w:hAnsi="Aptos Mono"/>
          <w:color w:val="17365D"/>
          <w:sz w:val="16"/>
        </w:rPr>
        <w:t>docs/prompt-optimizer-program/operation-policy.md</w:t>
      </w:r>
      <w:r>
        <w:rPr>
          <w:b w:val="0"/>
        </w:rPr>
        <w:t xml:space="preserve"> for authority and privacy invariants;</w:t>
      </w:r>
    </w:p>
    <w:p>
      <w:pPr>
        <w:pStyle w:val="ListBullet"/>
      </w:pPr>
      <w:r>
        <w:rPr>
          <w:rFonts w:ascii="Aptos Mono" w:hAnsi="Aptos Mono"/>
          <w:color w:val="17365D"/>
          <w:sz w:val="16"/>
        </w:rPr>
        <w:t>docs/prompt-optimizer-program/phases/phase-5-outcome.md</w:t>
      </w:r>
      <w:r>
        <w:rPr>
          <w:b w:val="0"/>
        </w:rPr>
        <w:t xml:space="preserve"> and </w:t>
      </w:r>
      <w:r>
        <w:rPr>
          <w:rFonts w:ascii="Aptos Mono" w:hAnsi="Aptos Mono"/>
          <w:color w:val="17365D"/>
          <w:sz w:val="16"/>
        </w:rPr>
        <w:t>phase-6-outcome.md</w:t>
      </w:r>
      <w:r>
        <w:rPr>
          <w:b w:val="0"/>
        </w:rPr>
        <w:t xml:space="preserve"> for local POC outcomes;</w:t>
      </w:r>
    </w:p>
    <w:p>
      <w:pPr>
        <w:pStyle w:val="ListBullet"/>
      </w:pPr>
      <w:r>
        <w:rPr>
          <w:rFonts w:ascii="Aptos Mono" w:hAnsi="Aptos Mono"/>
          <w:color w:val="17365D"/>
          <w:sz w:val="16"/>
        </w:rPr>
        <w:t>artifacts/vsix/developer-work-intelligence-0.1.0.evidence.json</w:t>
      </w:r>
      <w:r>
        <w:rPr>
          <w:b w:val="0"/>
        </w:rPr>
        <w:t xml:space="preserve"> and the VSIX archive for exact package facts;</w:t>
      </w:r>
    </w:p>
    <w:p>
      <w:pPr>
        <w:pStyle w:val="ListBullet"/>
      </w:pPr>
      <w:r>
        <w:rPr>
          <w:b w:val="0"/>
        </w:rPr>
        <w:t>current source for token estimates, feedback primitives, question handling, host persistence, and UI behavior;</w:t>
      </w:r>
    </w:p>
    <w:p>
      <w:pPr>
        <w:pStyle w:val="ListBullet"/>
      </w:pPr>
      <w:r>
        <w:rPr>
          <w:b w:val="0"/>
        </w:rPr>
        <w:t>local Git metadata, live remote branch identity, and exact-head CI status.</w:t>
      </w:r>
    </w:p>
    <w:p>
      <w:r>
        <w:rPr>
          <w:b w:val="0"/>
        </w:rPr>
        <w:t>This documentation task does not rerun product tests, call a provider, change a budget threshold, or perform merge, tag, release, or promotion. Document generation and document-format validation are separate from product qualification.</w:t>
      </w:r>
    </w:p>
    <w:p>
      <w:pPr>
        <w:pStyle w:val="Heading2"/>
        <w:keepNext/>
      </w:pPr>
      <w:r>
        <w:rPr>
          <w:b w:val="0"/>
        </w:rPr>
        <w:t>1.2 Evidence labels</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Label</w:t>
            </w:r>
          </w:p>
        </w:tc>
        <w:tc>
          <w:tcPr>
            <w:tcW w:type="dxa" w:w="4933"/>
            <w:shd w:fill="17365D"/>
            <w:tcMar>
              <w:top w:w="70" w:type="dxa"/>
              <w:start w:w="80" w:type="dxa"/>
              <w:bottom w:w="70" w:type="dxa"/>
              <w:end w:w="80" w:type="dxa"/>
            </w:tcMar>
          </w:tcPr>
          <w:p>
            <w:pPr>
              <w:keepLines/>
              <w:spacing w:after="0"/>
            </w:pPr>
            <w:r>
              <w:rPr>
                <w:b/>
                <w:color w:val="FFFFFF"/>
                <w:sz w:val="15"/>
              </w:rPr>
              <w:t>Meaning</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Implemented</w:t>
            </w:r>
          </w:p>
        </w:tc>
        <w:tc>
          <w:tcPr>
            <w:tcW w:type="dxa" w:w="4933"/>
            <w:tcMar>
              <w:top w:w="70" w:type="dxa"/>
              <w:start w:w="80" w:type="dxa"/>
              <w:bottom w:w="70" w:type="dxa"/>
              <w:end w:w="80" w:type="dxa"/>
            </w:tcMar>
            <w:vAlign w:val="top"/>
          </w:tcPr>
          <w:p>
            <w:pPr>
              <w:keepLines/>
              <w:spacing w:after="0" w:line="240" w:lineRule="auto"/>
            </w:pPr>
            <w:r>
              <w:rPr>
                <w:b w:val="0"/>
                <w:color w:val="172033"/>
                <w:sz w:val="15"/>
              </w:rPr>
              <w:t>Source and current product records contain the capability. This label alone does not establish installed or production behavior.</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Qualified locally</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named local test, package, installed, or evidence lane passed on a referenced candidate. It is not a production or release claim.</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Partial</w:t>
            </w:r>
          </w:p>
        </w:tc>
        <w:tc>
          <w:tcPr>
            <w:tcW w:type="dxa" w:w="4933"/>
            <w:tcMar>
              <w:top w:w="70" w:type="dxa"/>
              <w:start w:w="80" w:type="dxa"/>
              <w:bottom w:w="70" w:type="dxa"/>
              <w:end w:w="80" w:type="dxa"/>
            </w:tcMar>
            <w:vAlign w:val="top"/>
          </w:tcPr>
          <w:p>
            <w:pPr>
              <w:keepLines/>
              <w:spacing w:after="0" w:line="240" w:lineRule="auto"/>
            </w:pPr>
            <w:r>
              <w:rPr>
                <w:b w:val="0"/>
                <w:color w:val="172033"/>
                <w:sz w:val="15"/>
              </w:rPr>
              <w:t>Some domain or UI support exists, but an intended end-user path or required proof is incomplete.</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Preserved prior evidence</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prior candidate passed the named lane; a later exact tree did not obtain a fresh result.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Proposed future extension</w:t>
            </w:r>
          </w:p>
        </w:tc>
        <w:tc>
          <w:tcPr>
            <w:tcW w:type="dxa" w:w="4933"/>
            <w:tcMar>
              <w:top w:w="70" w:type="dxa"/>
              <w:start w:w="80" w:type="dxa"/>
              <w:bottom w:w="70" w:type="dxa"/>
              <w:end w:w="80" w:type="dxa"/>
            </w:tcMar>
            <w:vAlign w:val="top"/>
          </w:tcPr>
          <w:p>
            <w:pPr>
              <w:keepLines/>
              <w:spacing w:after="0" w:line="240" w:lineRule="auto"/>
            </w:pPr>
            <w:r>
              <w:rPr>
                <w:b w:val="0"/>
                <w:color w:val="172033"/>
                <w:sz w:val="15"/>
              </w:rPr>
              <w:t>Architecture or product direction requiring design, authorization, implementation, privacy review, and qualification.</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Blocked</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 frozen gate failed or stopped, and the governing contract does not authorize retry or waiver.</w:t>
            </w:r>
          </w:p>
        </w:tc>
      </w:tr>
    </w:tbl>
    <w:p>
      <w:pPr>
        <w:spacing w:after="0"/>
      </w:pPr>
    </w:p>
    <w:p>
      <w:pPr>
        <w:pStyle w:val="Heading2"/>
        <w:keepNext/>
      </w:pPr>
      <w:r>
        <w:rPr>
          <w:b w:val="0"/>
        </w:rPr>
        <w:t>1.3 Implementation evidence snapshot</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Item</w:t>
            </w:r>
          </w:p>
        </w:tc>
        <w:tc>
          <w:tcPr>
            <w:tcW w:type="dxa" w:w="4933"/>
            <w:shd w:fill="17365D"/>
            <w:tcMar>
              <w:top w:w="70" w:type="dxa"/>
              <w:start w:w="80" w:type="dxa"/>
              <w:bottom w:w="70" w:type="dxa"/>
              <w:end w:w="80" w:type="dxa"/>
            </w:tcMar>
          </w:tcPr>
          <w:p>
            <w:pPr>
              <w:keepLines/>
              <w:spacing w:after="0"/>
            </w:pPr>
            <w:r>
              <w:rPr>
                <w:b/>
                <w:color w:val="FFFFFF"/>
                <w:sz w:val="15"/>
              </w:rPr>
              <w:t>Observation at the documentation snapshot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Repository</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https://github.com/vinodsalina-cpu/dwi</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Functional branch</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feature/po-05-product-hardening</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POC implementation baseline</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5088dbf6e5fdeea2415b991c429de8e5229d7a7b</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Functional upstream</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origin/feature/po-05-product-hardening</w:t>
            </w:r>
            <w:r>
              <w:rPr>
                <w:b w:val="0"/>
                <w:color w:val="172033"/>
                <w:sz w:val="15"/>
              </w:rPr>
              <w:t xml:space="preserve"> at the same baseline before this documentation commit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Upstream divergence</w:t>
            </w:r>
          </w:p>
        </w:tc>
        <w:tc>
          <w:tcPr>
            <w:tcW w:type="dxa" w:w="4933"/>
            <w:tcMar>
              <w:top w:w="70" w:type="dxa"/>
              <w:start w:w="80" w:type="dxa"/>
              <w:bottom w:w="70" w:type="dxa"/>
              <w:end w:w="80" w:type="dxa"/>
            </w:tcMar>
            <w:vAlign w:val="top"/>
          </w:tcPr>
          <w:p>
            <w:pPr>
              <w:keepLines/>
              <w:spacing w:after="0" w:line="240" w:lineRule="auto"/>
            </w:pPr>
            <w:r>
              <w:rPr>
                <w:b w:val="0"/>
                <w:color w:val="172033"/>
                <w:sz w:val="15"/>
              </w:rPr>
              <w:t>0 behind / 0 ahead before final documentation packaging</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 xml:space="preserve">Relative to live </w:t>
            </w:r>
            <w:r>
              <w:rPr>
                <w:rFonts w:ascii="Aptos Mono" w:hAnsi="Aptos Mono"/>
                <w:color w:val="172033"/>
                <w:sz w:val="15"/>
              </w:rPr>
              <w:t>origin/main</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0 behind / 28 commits ahead</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Exact-head CI</w:t>
            </w:r>
          </w:p>
        </w:tc>
        <w:tc>
          <w:tcPr>
            <w:tcW w:type="dxa" w:w="4933"/>
            <w:tcMar>
              <w:top w:w="70" w:type="dxa"/>
              <w:start w:w="80" w:type="dxa"/>
              <w:bottom w:w="70" w:type="dxa"/>
              <w:end w:w="80" w:type="dxa"/>
            </w:tcMar>
            <w:vAlign w:val="top"/>
          </w:tcPr>
          <w:p>
            <w:pPr>
              <w:keepLines/>
              <w:spacing w:after="0" w:line="240" w:lineRule="auto"/>
            </w:pPr>
            <w:r>
              <w:rPr>
                <w:b w:val="0"/>
                <w:color w:val="172033"/>
                <w:sz w:val="15"/>
              </w:rPr>
              <w:t xml:space="preserve">GitHub Verify DWI run </w:t>
            </w:r>
            <w:r>
              <w:rPr>
                <w:rFonts w:ascii="Aptos Mono" w:hAnsi="Aptos Mono"/>
                <w:color w:val="172033"/>
                <w:sz w:val="15"/>
              </w:rPr>
              <w:t>33474904618</w:t>
            </w:r>
            <w:r>
              <w:rPr>
                <w:b w:val="0"/>
                <w:color w:val="172033"/>
                <w:sz w:val="15"/>
              </w:rPr>
              <w:t xml:space="preserve"> passed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Tracked source</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Clean at package evidence generation; unrelated local evidence files remain untracked</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Phase state</w:t>
            </w:r>
          </w:p>
        </w:tc>
        <w:tc>
          <w:tcPr>
            <w:tcW w:type="dxa" w:w="4933"/>
            <w:tcMar>
              <w:top w:w="70" w:type="dxa"/>
              <w:start w:w="80" w:type="dxa"/>
              <w:bottom w:w="70" w:type="dxa"/>
              <w:end w:w="80" w:type="dxa"/>
            </w:tcMar>
            <w:vAlign w:val="top"/>
          </w:tcPr>
          <w:p>
            <w:pPr>
              <w:keepLines/>
              <w:spacing w:after="0" w:line="240" w:lineRule="auto"/>
            </w:pPr>
            <w:r>
              <w:rPr>
                <w:b w:val="0"/>
                <w:color w:val="172033"/>
                <w:sz w:val="15"/>
              </w:rPr>
              <w:t>Phase 5 local POC complete; Phase 6 local POC qualification complete; Phase 4 semantic qualification blocked</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DF3F8"/>
            <w:tcMar>
              <w:top w:w="110" w:type="dxa"/>
              <w:start w:w="150" w:type="dxa"/>
              <w:bottom w:w="110" w:type="dxa"/>
              <w:end w:w="150" w:type="dxa"/>
            </w:tcMar>
          </w:tcPr>
          <w:p>
            <w:pPr>
              <w:keepLines/>
              <w:spacing w:after="0"/>
            </w:pPr>
            <w:r>
              <w:rPr>
                <w:b/>
                <w:color w:val="17365D"/>
                <w:sz w:val="18"/>
              </w:rPr>
              <w:t>Exact-tree rule.</w:t>
            </w:r>
            <w:r>
              <w:rPr>
                <w:b w:val="0"/>
                <w:color w:val="17365D"/>
                <w:sz w:val="18"/>
              </w:rPr>
              <w:t xml:space="preserve"> Test, package, installed, and continuity evidence belongs to the exact candidate and artifact that produced it. A green result on an earlier package does not automatically qualify a later UI or navigation tree.</w:t>
            </w:r>
          </w:p>
        </w:tc>
      </w:tr>
    </w:tbl>
    <w:p>
      <w:pPr>
        <w:spacing w:after="0"/>
      </w:pPr>
    </w:p>
    <w:p>
      <w:r>
        <w:br w:type="page"/>
      </w:r>
    </w:p>
    <w:p>
      <w:pPr>
        <w:pStyle w:val="Heading1"/>
        <w:keepNext/>
      </w:pPr>
      <w:r>
        <w:rPr>
          <w:b w:val="0"/>
        </w:rPr>
        <w:t>2. Product direction and operating contract</w:t>
      </w:r>
    </w:p>
    <w:p>
      <w:pPr>
        <w:pStyle w:val="Heading2"/>
        <w:keepNext/>
      </w:pPr>
      <w:r>
        <w:rPr>
          <w:b w:val="0"/>
        </w:rPr>
        <w:t>2.1 Consent-first initialized project knowledge</w:t>
      </w:r>
    </w:p>
    <w:p>
      <w:r>
        <w:rPr>
          <w:b w:val="0"/>
        </w:rPr>
        <w:t>DWI’s first product journey is project initialization:</w:t>
      </w:r>
    </w:p>
    <w:p>
      <w:pPr>
        <w:pStyle w:val="ListNumber"/>
      </w:pPr>
      <w:r>
        <w:rPr>
          <w:b w:val="0"/>
        </w:rPr>
        <w:t>identify the project root;</w:t>
      </w:r>
    </w:p>
    <w:p>
      <w:pPr>
        <w:pStyle w:val="ListNumber"/>
      </w:pPr>
      <w:r>
        <w:rPr>
          <w:b w:val="0"/>
        </w:rPr>
        <w:t>disclose the bounded inspection scope;</w:t>
      </w:r>
    </w:p>
    <w:p>
      <w:pPr>
        <w:pStyle w:val="ListNumber"/>
      </w:pPr>
      <w:r>
        <w:rPr>
          <w:b w:val="0"/>
        </w:rPr>
        <w:t>obtain consent;</w:t>
      </w:r>
    </w:p>
    <w:p>
      <w:pPr>
        <w:pStyle w:val="ListNumber"/>
      </w:pPr>
      <w:r>
        <w:rPr>
          <w:b w:val="0"/>
        </w:rPr>
        <w:t>collect only the evidence needed for a useful project brief;</w:t>
      </w:r>
    </w:p>
    <w:p>
      <w:pPr>
        <w:pStyle w:val="ListNumber"/>
      </w:pPr>
      <w:r>
        <w:rPr>
          <w:b w:val="0"/>
        </w:rPr>
        <w:t>let the developer review, correct, and approve that brief;</w:t>
      </w:r>
    </w:p>
    <w:p>
      <w:pPr>
        <w:pStyle w:val="ListNumber"/>
      </w:pPr>
      <w:r>
        <w:rPr>
          <w:b w:val="0"/>
        </w:rPr>
        <w:t>persist the approved initialization state;</w:t>
      </w:r>
    </w:p>
    <w:p>
      <w:pPr>
        <w:pStyle w:val="ListNumber"/>
      </w:pPr>
      <w:r>
        <w:rPr>
          <w:b w:val="0"/>
        </w:rPr>
        <w:t>allow later task workflows to use the reviewed knowledge.</w:t>
      </w:r>
    </w:p>
    <w:p>
      <w:r>
        <w:rPr>
          <w:b w:val="0"/>
        </w:rPr>
        <w:t>The initialized knowledge layer is the prerequisite for Prompt Optimizer. This boundary prevents the product from becoming a disconnected set of tools or a prompt editor that silently accumulates unreviewed context.</w:t>
      </w:r>
    </w:p>
    <w:p>
      <w:pPr>
        <w:pStyle w:val="Heading2"/>
        <w:keepNext/>
      </w:pPr>
      <w:r>
        <w:rPr>
          <w:b w:val="0"/>
        </w:rPr>
        <w:t>2.2 Current interaction contract</w:t>
      </w:r>
    </w:p>
    <w:p>
      <w:r>
        <w:rPr>
          <w:rFonts w:ascii="Aptos Mono" w:hAnsi="Aptos Mono"/>
          <w:color w:val="17365D"/>
          <w:sz w:val="16"/>
        </w:rPr>
        <w:t>Approved Project Meta Context → structured task → deterministic source plan → assumptions and material gaps → local composition → developer review → save or scoped reset</w:t>
      </w:r>
    </w:p>
    <w:p>
      <w:r>
        <w:rPr>
          <w:b w:val="0"/>
        </w:rPr>
        <w:t>Navigation through Input, Resolve, and Review is provider-free. A provider boundary is reached only through an explicit disclosed semantic action. If that action fails validation or is unavailable, DWI preserves the local deterministic candidate.</w:t>
      </w:r>
    </w:p>
    <w:p>
      <w:pPr>
        <w:pStyle w:val="Heading2"/>
        <w:keepNext/>
      </w:pPr>
      <w:r>
        <w:rPr>
          <w:b w:val="0"/>
        </w:rPr>
        <w:t>2.3 Authority ownership</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State or decision</w:t>
            </w:r>
          </w:p>
        </w:tc>
        <w:tc>
          <w:tcPr>
            <w:tcW w:type="dxa" w:w="4933"/>
            <w:shd w:fill="17365D"/>
            <w:tcMar>
              <w:top w:w="70" w:type="dxa"/>
              <w:start w:w="80" w:type="dxa"/>
              <w:bottom w:w="70" w:type="dxa"/>
              <w:end w:w="80" w:type="dxa"/>
            </w:tcMar>
          </w:tcPr>
          <w:p>
            <w:pPr>
              <w:keepLines/>
              <w:spacing w:after="0"/>
            </w:pPr>
            <w:r>
              <w:rPr>
                <w:b/>
                <w:color w:val="FFFFFF"/>
                <w:sz w:val="15"/>
              </w:rPr>
              <w:t>Current authority</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Project root, consent, reviewed brief</w:t>
            </w:r>
          </w:p>
        </w:tc>
        <w:tc>
          <w:tcPr>
            <w:tcW w:type="dxa" w:w="4933"/>
            <w:tcMar>
              <w:top w:w="70" w:type="dxa"/>
              <w:start w:w="80" w:type="dxa"/>
              <w:bottom w:w="70" w:type="dxa"/>
              <w:end w:w="80" w:type="dxa"/>
            </w:tcMar>
            <w:vAlign w:val="top"/>
          </w:tcPr>
          <w:p>
            <w:pPr>
              <w:keepLines/>
              <w:spacing w:after="0" w:line="240" w:lineRule="auto"/>
            </w:pPr>
            <w:r>
              <w:rPr>
                <w:b w:val="0"/>
                <w:color w:val="172033"/>
                <w:sz w:val="15"/>
              </w:rPr>
              <w:t>Initialization workflow and approved project snapshot</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Session identity, revision, base hash, workspace epoch</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Extension host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Source inclusion, authority order, provenance, contradictions</w:t>
            </w:r>
          </w:p>
        </w:tc>
        <w:tc>
          <w:tcPr>
            <w:tcW w:type="dxa" w:w="4933"/>
            <w:tcMar>
              <w:top w:w="70" w:type="dxa"/>
              <w:start w:w="80" w:type="dxa"/>
              <w:bottom w:w="70" w:type="dxa"/>
              <w:end w:w="80" w:type="dxa"/>
            </w:tcMar>
            <w:vAlign w:val="top"/>
          </w:tcPr>
          <w:p>
            <w:pPr>
              <w:keepLines/>
              <w:spacing w:after="0" w:line="240" w:lineRule="auto"/>
            </w:pPr>
            <w:r>
              <w:rPr>
                <w:b w:val="0"/>
                <w:color w:val="172033"/>
                <w:sz w:val="15"/>
              </w:rPr>
              <w:t>Deterministic source planning</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Material questions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Shared policy: at most three and prefer zero</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Local candidate</w:t>
            </w:r>
          </w:p>
        </w:tc>
        <w:tc>
          <w:tcPr>
            <w:tcW w:type="dxa" w:w="4933"/>
            <w:tcMar>
              <w:top w:w="70" w:type="dxa"/>
              <w:start w:w="80" w:type="dxa"/>
              <w:bottom w:w="70" w:type="dxa"/>
              <w:end w:w="80" w:type="dxa"/>
            </w:tcMar>
            <w:vAlign w:val="top"/>
          </w:tcPr>
          <w:p>
            <w:pPr>
              <w:keepLines/>
              <w:spacing w:after="0" w:line="240" w:lineRule="auto"/>
            </w:pPr>
            <w:r>
              <w:rPr>
                <w:b w:val="0"/>
                <w:color w:val="172033"/>
                <w:sz w:val="15"/>
              </w:rPr>
              <w:t>Deterministic compiler</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Semantic change</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Valid, current, bounded, hash-bound patch only</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Networking and provider secret</w:t>
            </w:r>
          </w:p>
        </w:tc>
        <w:tc>
          <w:tcPr>
            <w:tcW w:type="dxa" w:w="4933"/>
            <w:tcMar>
              <w:top w:w="70" w:type="dxa"/>
              <w:start w:w="80" w:type="dxa"/>
              <w:bottom w:w="70" w:type="dxa"/>
              <w:end w:w="80" w:type="dxa"/>
            </w:tcMar>
            <w:vAlign w:val="top"/>
          </w:tcPr>
          <w:p>
            <w:pPr>
              <w:keepLines/>
              <w:spacing w:after="0" w:line="240" w:lineRule="auto"/>
            </w:pPr>
            <w:r>
              <w:rPr>
                <w:b w:val="0"/>
                <w:color w:val="172033"/>
                <w:sz w:val="15"/>
              </w:rPr>
              <w:t>Extension host only</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Acceptance, correction, save, reset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Developer</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Provider spend, PMS integration, promotion, release</w:t>
            </w:r>
          </w:p>
        </w:tc>
        <w:tc>
          <w:tcPr>
            <w:tcW w:type="dxa" w:w="4933"/>
            <w:tcMar>
              <w:top w:w="70" w:type="dxa"/>
              <w:start w:w="80" w:type="dxa"/>
              <w:bottom w:w="70" w:type="dxa"/>
              <w:end w:w="80" w:type="dxa"/>
            </w:tcMar>
            <w:vAlign w:val="top"/>
          </w:tcPr>
          <w:p>
            <w:pPr>
              <w:keepLines/>
              <w:spacing w:after="0" w:line="240" w:lineRule="auto"/>
            </w:pPr>
            <w:r>
              <w:rPr>
                <w:b w:val="0"/>
                <w:color w:val="172033"/>
                <w:sz w:val="15"/>
              </w:rPr>
              <w:t>Explicit external authority; not granted by local program records</w:t>
            </w:r>
          </w:p>
        </w:tc>
      </w:tr>
    </w:tbl>
    <w:p>
      <w:pPr>
        <w:spacing w:after="0"/>
      </w:pPr>
    </w:p>
    <w:p>
      <w:pPr>
        <w:pStyle w:val="Heading2"/>
        <w:keepNext/>
      </w:pPr>
      <w:r>
        <w:rPr>
          <w:b w:val="0"/>
        </w:rPr>
        <w:t>2.4 What standardization means</w:t>
      </w:r>
    </w:p>
    <w:p>
      <w:r>
        <w:rPr>
          <w:b w:val="0"/>
        </w:rPr>
        <w:t>The POC standardizes the interaction at four layers:</w:t>
      </w:r>
    </w:p>
    <w:p>
      <w:pPr>
        <w:pStyle w:val="ListBullet"/>
      </w:pPr>
      <w:r>
        <w:rPr>
          <w:b/>
        </w:rPr>
        <w:t>Input:</w:t>
      </w:r>
      <w:r>
        <w:rPr>
          <w:b w:val="0"/>
        </w:rPr>
        <w:t xml:space="preserve"> reviewed project context, task, assignment, criticality, and bounded explicit sources;</w:t>
      </w:r>
    </w:p>
    <w:p>
      <w:pPr>
        <w:pStyle w:val="ListBullet"/>
      </w:pPr>
      <w:r>
        <w:rPr>
          <w:b/>
        </w:rPr>
        <w:t>Composition:</w:t>
      </w:r>
      <w:r>
        <w:rPr>
          <w:b w:val="0"/>
        </w:rPr>
        <w:t xml:space="preserve"> deterministic source planning, authority order, provenance, conflicts, assumptions, and local compilation;</w:t>
      </w:r>
    </w:p>
    <w:p>
      <w:pPr>
        <w:pStyle w:val="ListBullet"/>
      </w:pPr>
      <w:r>
        <w:rPr>
          <w:b/>
        </w:rPr>
        <w:t>Output:</w:t>
      </w:r>
      <w:r>
        <w:rPr>
          <w:b w:val="0"/>
        </w:rPr>
        <w:t xml:space="preserve"> a reviewable candidate with visible status, sources, assumptions, token projection, and fallback state;</w:t>
      </w:r>
    </w:p>
    <w:p>
      <w:pPr>
        <w:pStyle w:val="ListBullet"/>
      </w:pPr>
      <w:r>
        <w:rPr>
          <w:b/>
        </w:rPr>
        <w:t>Control:</w:t>
      </w:r>
      <w:r>
        <w:rPr>
          <w:b w:val="0"/>
        </w:rPr>
        <w:t xml:space="preserve"> consent, explicit provider action, host-owned session identity, human review, save, and scoped reset.</w:t>
      </w:r>
    </w:p>
    <w:p>
      <w:r>
        <w:rPr>
          <w:b w:val="0"/>
        </w:rPr>
        <w:t>This structure is the foundation for later management integration. Future systems should enter through bounded adapters; they should not become external runtime dependencies or replace DWI’s deterministic authority.</w:t>
      </w:r>
    </w:p>
    <w:p>
      <w:r>
        <w:br w:type="page"/>
      </w:r>
    </w:p>
    <w:p>
      <w:pPr>
        <w:pStyle w:val="Heading1"/>
        <w:keepNext/>
      </w:pPr>
      <w:r>
        <w:rPr>
          <w:b w:val="0"/>
        </w:rPr>
        <w:t>3. Current implementation status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2466"/>
            <w:shd w:fill="17365D"/>
            <w:tcMar>
              <w:top w:w="70" w:type="dxa"/>
              <w:start w:w="80" w:type="dxa"/>
              <w:bottom w:w="70" w:type="dxa"/>
              <w:end w:w="80" w:type="dxa"/>
            </w:tcMar>
          </w:tcPr>
          <w:p>
            <w:pPr>
              <w:keepLines/>
              <w:spacing w:after="0"/>
            </w:pPr>
            <w:r>
              <w:rPr>
                <w:b/>
                <w:color w:val="FFFFFF"/>
                <w:sz w:val="15"/>
              </w:rPr>
              <w:t>Capability</w:t>
            </w:r>
          </w:p>
        </w:tc>
        <w:tc>
          <w:tcPr>
            <w:tcW w:type="dxa" w:w="2466"/>
            <w:shd w:fill="17365D"/>
            <w:tcMar>
              <w:top w:w="70" w:type="dxa"/>
              <w:start w:w="80" w:type="dxa"/>
              <w:bottom w:w="70" w:type="dxa"/>
              <w:end w:w="80" w:type="dxa"/>
            </w:tcMar>
          </w:tcPr>
          <w:p>
            <w:pPr>
              <w:keepLines/>
              <w:spacing w:after="0"/>
            </w:pPr>
            <w:r>
              <w:rPr>
                <w:b/>
                <w:color w:val="FFFFFF"/>
                <w:sz w:val="15"/>
              </w:rPr>
              <w:t>Current implementation</w:t>
            </w:r>
          </w:p>
        </w:tc>
        <w:tc>
          <w:tcPr>
            <w:tcW w:type="dxa" w:w="2466"/>
            <w:shd w:fill="17365D"/>
            <w:tcMar>
              <w:top w:w="70" w:type="dxa"/>
              <w:start w:w="80" w:type="dxa"/>
              <w:bottom w:w="70" w:type="dxa"/>
              <w:end w:w="80" w:type="dxa"/>
            </w:tcMar>
          </w:tcPr>
          <w:p>
            <w:pPr>
              <w:keepLines/>
              <w:spacing w:after="0"/>
            </w:pPr>
            <w:r>
              <w:rPr>
                <w:b/>
                <w:color w:val="FFFFFF"/>
                <w:sz w:val="15"/>
              </w:rPr>
              <w:t>Evidence boundary</w:t>
            </w:r>
          </w:p>
        </w:tc>
        <w:tc>
          <w:tcPr>
            <w:tcW w:type="dxa" w:w="2466"/>
            <w:shd w:fill="17365D"/>
            <w:tcMar>
              <w:top w:w="70" w:type="dxa"/>
              <w:start w:w="80" w:type="dxa"/>
              <w:bottom w:w="70" w:type="dxa"/>
              <w:end w:w="80" w:type="dxa"/>
            </w:tcMar>
          </w:tcPr>
          <w:p>
            <w:pPr>
              <w:keepLines/>
              <w:spacing w:after="0"/>
            </w:pPr>
            <w:r>
              <w:rPr>
                <w:b/>
                <w:color w:val="FFFFFF"/>
                <w:sz w:val="15"/>
              </w:rPr>
              <w:t>Status</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Consent-based project initialization</w:t>
            </w:r>
          </w:p>
        </w:tc>
        <w:tc>
          <w:tcPr>
            <w:tcW w:type="dxa" w:w="2466"/>
            <w:tcMar>
              <w:top w:w="70" w:type="dxa"/>
              <w:start w:w="80" w:type="dxa"/>
              <w:bottom w:w="70" w:type="dxa"/>
              <w:end w:w="80" w:type="dxa"/>
            </w:tcMar>
            <w:vAlign w:val="top"/>
          </w:tcPr>
          <w:p>
            <w:pPr>
              <w:keepLines/>
              <w:spacing w:after="0" w:line="240" w:lineRule="auto"/>
            </w:pPr>
            <w:r>
              <w:rPr>
                <w:b w:val="0"/>
                <w:color w:val="172033"/>
                <w:sz w:val="15"/>
              </w:rPr>
              <w:t>Bounded inspection, brief review, correction, approval, and persistence</w:t>
            </w:r>
          </w:p>
        </w:tc>
        <w:tc>
          <w:tcPr>
            <w:tcW w:type="dxa" w:w="2466"/>
            <w:tcMar>
              <w:top w:w="70" w:type="dxa"/>
              <w:start w:w="80" w:type="dxa"/>
              <w:bottom w:w="70" w:type="dxa"/>
              <w:end w:w="80" w:type="dxa"/>
            </w:tcMar>
            <w:vAlign w:val="top"/>
          </w:tcPr>
          <w:p>
            <w:pPr>
              <w:keepLines/>
              <w:spacing w:after="0" w:line="240" w:lineRule="auto"/>
            </w:pPr>
            <w:r>
              <w:rPr>
                <w:b w:val="0"/>
                <w:color w:val="172033"/>
                <w:sz w:val="15"/>
              </w:rPr>
              <w:t>Recorded local and installed journeys; broader production deployment not claimed</w:t>
            </w:r>
          </w:p>
        </w:tc>
        <w:tc>
          <w:tcPr>
            <w:tcW w:type="dxa" w:w="2466"/>
            <w:tcMar>
              <w:top w:w="70" w:type="dxa"/>
              <w:start w:w="80" w:type="dxa"/>
              <w:bottom w:w="70" w:type="dxa"/>
              <w:end w:w="80" w:type="dxa"/>
            </w:tcMar>
            <w:vAlign w:val="top"/>
          </w:tcPr>
          <w:p>
            <w:pPr>
              <w:keepLines/>
              <w:spacing w:after="0" w:line="240" w:lineRule="auto"/>
            </w:pPr>
            <w:r>
              <w:rPr>
                <w:b w:val="0"/>
                <w:color w:val="172033"/>
                <w:sz w:val="15"/>
              </w:rPr>
              <w:t>Implemented and locally qualified</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Reviewed Project Meta Context</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Approved project brief feeds later prompt work and survives optimizer-only reset</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Current visible internal destination under the sole Prompt Optimizer webview</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Sole product identity</w:t>
            </w:r>
          </w:p>
        </w:tc>
        <w:tc>
          <w:tcPr>
            <w:tcW w:type="dxa" w:w="2466"/>
            <w:tcMar>
              <w:top w:w="70" w:type="dxa"/>
              <w:start w:w="80" w:type="dxa"/>
              <w:bottom w:w="70" w:type="dxa"/>
              <w:end w:w="80" w:type="dxa"/>
            </w:tcMar>
            <w:vAlign w:val="top"/>
          </w:tcPr>
          <w:p>
            <w:pPr>
              <w:keepLines/>
              <w:spacing w:after="0" w:line="240" w:lineRule="auto"/>
            </w:pPr>
            <w:r>
              <w:rPr>
                <w:b w:val="0"/>
                <w:color w:val="172033"/>
                <w:sz w:val="15"/>
              </w:rPr>
              <w:t>One Prompt Optimizer Activity Bar container, one native view, one visible open command</w:t>
            </w:r>
          </w:p>
        </w:tc>
        <w:tc>
          <w:tcPr>
            <w:tcW w:type="dxa" w:w="2466"/>
            <w:tcMar>
              <w:top w:w="70" w:type="dxa"/>
              <w:start w:w="80" w:type="dxa"/>
              <w:bottom w:w="70" w:type="dxa"/>
              <w:end w:w="80" w:type="dxa"/>
            </w:tcMar>
            <w:vAlign w:val="top"/>
          </w:tcPr>
          <w:p>
            <w:pPr>
              <w:keepLines/>
              <w:spacing w:after="0" w:line="240" w:lineRule="auto"/>
            </w:pPr>
            <w:r>
              <w:rPr>
                <w:b w:val="0"/>
                <w:color w:val="172033"/>
                <w:sz w:val="15"/>
              </w:rPr>
              <w:t>Home and Project Meta Context remain internal; hidden legacy command preserves compatibility</w:t>
            </w:r>
          </w:p>
        </w:tc>
        <w:tc>
          <w:tcPr>
            <w:tcW w:type="dxa" w:w="2466"/>
            <w:tcMar>
              <w:top w:w="70" w:type="dxa"/>
              <w:start w:w="80" w:type="dxa"/>
              <w:bottom w:w="70" w:type="dxa"/>
              <w:end w:w="80" w:type="dxa"/>
            </w:tcMar>
            <w:vAlign w:val="top"/>
          </w:tcPr>
          <w:p>
            <w:pPr>
              <w:keepLines/>
              <w:spacing w:after="0" w:line="240" w:lineRule="auto"/>
            </w:pPr>
            <w:r>
              <w:rPr>
                <w:b w:val="0"/>
                <w:color w:val="172033"/>
                <w:sz w:val="15"/>
              </w:rPr>
              <w:t>Implemented and remotely present on functional branch</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Structured task input</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Assignment, task type, criticality, prompt, and context controls</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Current webview and 32-test webview suite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Input → Resolve → Review</w:t>
            </w:r>
          </w:p>
        </w:tc>
        <w:tc>
          <w:tcPr>
            <w:tcW w:type="dxa" w:w="2466"/>
            <w:tcMar>
              <w:top w:w="70" w:type="dxa"/>
              <w:start w:w="80" w:type="dxa"/>
              <w:bottom w:w="70" w:type="dxa"/>
              <w:end w:w="80" w:type="dxa"/>
            </w:tcMar>
            <w:vAlign w:val="top"/>
          </w:tcPr>
          <w:p>
            <w:pPr>
              <w:keepLines/>
              <w:spacing w:after="0" w:line="240" w:lineRule="auto"/>
            </w:pPr>
            <w:r>
              <w:rPr>
                <w:b w:val="0"/>
                <w:color w:val="172033"/>
                <w:sz w:val="15"/>
              </w:rPr>
              <w:t>Host-owned identity and provider-free deterministic composition</w:t>
            </w:r>
          </w:p>
        </w:tc>
        <w:tc>
          <w:tcPr>
            <w:tcW w:type="dxa" w:w="2466"/>
            <w:tcMar>
              <w:top w:w="70" w:type="dxa"/>
              <w:start w:w="80" w:type="dxa"/>
              <w:bottom w:w="70" w:type="dxa"/>
              <w:end w:w="80" w:type="dxa"/>
            </w:tcMar>
            <w:vAlign w:val="top"/>
          </w:tcPr>
          <w:p>
            <w:pPr>
              <w:keepLines/>
              <w:spacing w:after="0" w:line="240" w:lineRule="auto"/>
            </w:pPr>
            <w:r>
              <w:rPr>
                <w:b w:val="0"/>
                <w:color w:val="172033"/>
                <w:sz w:val="15"/>
              </w:rPr>
              <w:t>Same-process installed verification and local suites</w:t>
            </w:r>
          </w:p>
        </w:tc>
        <w:tc>
          <w:tcPr>
            <w:tcW w:type="dxa" w:w="2466"/>
            <w:tcMar>
              <w:top w:w="70" w:type="dxa"/>
              <w:start w:w="80" w:type="dxa"/>
              <w:bottom w:w="70" w:type="dxa"/>
              <w:end w:w="80" w:type="dxa"/>
            </w:tcMar>
            <w:vAlign w:val="top"/>
          </w:tcPr>
          <w:p>
            <w:pPr>
              <w:keepLines/>
              <w:spacing w:after="0" w:line="240" w:lineRule="auto"/>
            </w:pPr>
            <w:r>
              <w:rPr>
                <w:b w:val="0"/>
                <w:color w:val="172033"/>
                <w:sz w:val="15"/>
              </w:rPr>
              <w:t>Implemented and locally qualified</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Source plan and review detail</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Provenance, authority, conflicts, assumptions, material gaps, and selected modules</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Local deterministic tests and narrow-layout evidence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Focused clarification</w:t>
            </w:r>
          </w:p>
        </w:tc>
        <w:tc>
          <w:tcPr>
            <w:tcW w:type="dxa" w:w="2466"/>
            <w:tcMar>
              <w:top w:w="70" w:type="dxa"/>
              <w:start w:w="80" w:type="dxa"/>
              <w:bottom w:w="70" w:type="dxa"/>
              <w:end w:w="80" w:type="dxa"/>
            </w:tcMar>
            <w:vAlign w:val="top"/>
          </w:tcPr>
          <w:p>
            <w:pPr>
              <w:keepLines/>
              <w:spacing w:after="0" w:line="240" w:lineRule="auto"/>
            </w:pPr>
            <w:r>
              <w:rPr>
                <w:b w:val="0"/>
                <w:color w:val="172033"/>
                <w:sz w:val="15"/>
              </w:rPr>
              <w:t>Material questions can be detected and displayed; domain code represents answers</w:t>
            </w:r>
          </w:p>
        </w:tc>
        <w:tc>
          <w:tcPr>
            <w:tcW w:type="dxa" w:w="2466"/>
            <w:tcMar>
              <w:top w:w="70" w:type="dxa"/>
              <w:start w:w="80" w:type="dxa"/>
              <w:bottom w:w="70" w:type="dxa"/>
              <w:end w:w="80" w:type="dxa"/>
            </w:tcMar>
            <w:vAlign w:val="top"/>
          </w:tcPr>
          <w:p>
            <w:pPr>
              <w:keepLines/>
              <w:spacing w:after="0" w:line="240" w:lineRule="auto"/>
            </w:pPr>
            <w:r>
              <w:rPr>
                <w:b w:val="0"/>
                <w:color w:val="172033"/>
                <w:sz w:val="15"/>
              </w:rPr>
              <w:t>Installed one-question answer/skip/version-bound application journey is absent</w:t>
            </w:r>
          </w:p>
        </w:tc>
        <w:tc>
          <w:tcPr>
            <w:tcW w:type="dxa" w:w="2466"/>
            <w:tcMar>
              <w:top w:w="70" w:type="dxa"/>
              <w:start w:w="80" w:type="dxa"/>
              <w:bottom w:w="70" w:type="dxa"/>
              <w:end w:w="80" w:type="dxa"/>
            </w:tcMar>
            <w:vAlign w:val="top"/>
          </w:tcPr>
          <w:p>
            <w:pPr>
              <w:keepLines/>
              <w:spacing w:after="0" w:line="240" w:lineRule="auto"/>
            </w:pPr>
            <w:r>
              <w:rPr>
                <w:b w:val="0"/>
                <w:color w:val="172033"/>
                <w:sz w:val="15"/>
              </w:rPr>
              <w:t>Partial</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Explicit semantic action</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Host-only provider port, strict V2 validation, bounded patch, deterministic fallback</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Simulator and local failure coverage do not prove live quality</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 real semantic lane blocked</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Token projection</w:t>
            </w:r>
          </w:p>
        </w:tc>
        <w:tc>
          <w:tcPr>
            <w:tcW w:type="dxa" w:w="2466"/>
            <w:tcMar>
              <w:top w:w="70" w:type="dxa"/>
              <w:start w:w="80" w:type="dxa"/>
              <w:bottom w:w="70" w:type="dxa"/>
              <w:end w:w="80" w:type="dxa"/>
            </w:tcMar>
            <w:vAlign w:val="top"/>
          </w:tcPr>
          <w:p>
            <w:pPr>
              <w:keepLines/>
              <w:spacing w:after="0" w:line="240" w:lineRule="auto"/>
            </w:pPr>
            <w:r>
              <w:rPr>
                <w:b w:val="0"/>
                <w:color w:val="172033"/>
                <w:sz w:val="15"/>
              </w:rPr>
              <w:t>Deterministic local estimate and structured semantic projection contract</w:t>
            </w:r>
          </w:p>
        </w:tc>
        <w:tc>
          <w:tcPr>
            <w:tcW w:type="dxa" w:w="2466"/>
            <w:tcMar>
              <w:top w:w="70" w:type="dxa"/>
              <w:start w:w="80" w:type="dxa"/>
              <w:bottom w:w="70" w:type="dxa"/>
              <w:end w:w="80" w:type="dxa"/>
            </w:tcMar>
            <w:vAlign w:val="top"/>
          </w:tcPr>
          <w:p>
            <w:pPr>
              <w:keepLines/>
              <w:spacing w:after="0" w:line="240" w:lineRule="auto"/>
            </w:pPr>
            <w:r>
              <w:rPr>
                <w:b w:val="0"/>
                <w:color w:val="172033"/>
                <w:sz w:val="15"/>
              </w:rPr>
              <w:t>Current local estimate is planning guidance, not billing; live calibration incomplete</w:t>
            </w:r>
          </w:p>
        </w:tc>
        <w:tc>
          <w:tcPr>
            <w:tcW w:type="dxa" w:w="2466"/>
            <w:tcMar>
              <w:top w:w="70" w:type="dxa"/>
              <w:start w:w="80" w:type="dxa"/>
              <w:bottom w:w="70" w:type="dxa"/>
              <w:end w:w="80" w:type="dxa"/>
            </w:tcMar>
            <w:vAlign w:val="top"/>
          </w:tcPr>
          <w:p>
            <w:pPr>
              <w:keepLines/>
              <w:spacing w:after="0" w:line="240" w:lineRule="auto"/>
            </w:pPr>
            <w:r>
              <w:rPr>
                <w:b w:val="0"/>
                <w:color w:val="172033"/>
                <w:sz w:val="15"/>
              </w:rPr>
              <w:t>Implemented, uncalibrated</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Durable sessions and recents</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Versioned workspace-scoped session authority with bounded recents</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Prior installed cross-process result preserved; current exact-tree rerun inconclusive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 continuity evidence split</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Optimizer-only reset</w:t>
            </w:r>
          </w:p>
        </w:tc>
        <w:tc>
          <w:tcPr>
            <w:tcW w:type="dxa" w:w="2466"/>
            <w:tcMar>
              <w:top w:w="70" w:type="dxa"/>
              <w:start w:w="80" w:type="dxa"/>
              <w:bottom w:w="70" w:type="dxa"/>
              <w:end w:w="80" w:type="dxa"/>
            </w:tcMar>
            <w:vAlign w:val="top"/>
          </w:tcPr>
          <w:p>
            <w:pPr>
              <w:keepLines/>
              <w:spacing w:after="0" w:line="240" w:lineRule="auto"/>
            </w:pPr>
            <w:r>
              <w:rPr>
                <w:b w:val="0"/>
                <w:color w:val="172033"/>
                <w:sz w:val="15"/>
              </w:rPr>
              <w:t>Clears optimizer state while retaining approved project state, consent, and settings</w:t>
            </w:r>
          </w:p>
        </w:tc>
        <w:tc>
          <w:tcPr>
            <w:tcW w:type="dxa" w:w="2466"/>
            <w:tcMar>
              <w:top w:w="70" w:type="dxa"/>
              <w:start w:w="80" w:type="dxa"/>
              <w:bottom w:w="70" w:type="dxa"/>
              <w:end w:w="80" w:type="dxa"/>
            </w:tcMar>
            <w:vAlign w:val="top"/>
          </w:tcPr>
          <w:p>
            <w:pPr>
              <w:keepLines/>
              <w:spacing w:after="0" w:line="240" w:lineRule="auto"/>
            </w:pPr>
            <w:r>
              <w:rPr>
                <w:b w:val="0"/>
                <w:color w:val="172033"/>
                <w:sz w:val="15"/>
              </w:rPr>
              <w:t>Local and prior installed evidence</w:t>
            </w:r>
          </w:p>
        </w:tc>
        <w:tc>
          <w:tcPr>
            <w:tcW w:type="dxa" w:w="2466"/>
            <w:tcMar>
              <w:top w:w="70" w:type="dxa"/>
              <w:start w:w="80" w:type="dxa"/>
              <w:bottom w:w="70" w:type="dxa"/>
              <w:end w:w="80" w:type="dxa"/>
            </w:tcMar>
            <w:vAlign w:val="top"/>
          </w:tcPr>
          <w:p>
            <w:pPr>
              <w:keepLines/>
              <w:spacing w:after="0" w:line="240" w:lineRule="auto"/>
            </w:pPr>
            <w:r>
              <w:rPr>
                <w:b w:val="0"/>
                <w:color w:val="172033"/>
                <w:sz w:val="15"/>
              </w:rPr>
              <w:t>Implemented and locally qualified</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Local feedback</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Helpful, mixed, or not-helpful rating; bounded tags, optional note, modules, estimate, elapsed time; evaluation export and delete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Local evaluation aid only; no cross-team aggregation or management telemetry</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Implemented local primitive</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PMS integration and sprint-aware budget</w:t>
            </w:r>
          </w:p>
        </w:tc>
        <w:tc>
          <w:tcPr>
            <w:tcW w:type="dxa" w:w="2466"/>
            <w:tcMar>
              <w:top w:w="70" w:type="dxa"/>
              <w:start w:w="80" w:type="dxa"/>
              <w:bottom w:w="70" w:type="dxa"/>
              <w:end w:w="80" w:type="dxa"/>
            </w:tcMar>
            <w:vAlign w:val="top"/>
          </w:tcPr>
          <w:p>
            <w:pPr>
              <w:keepLines/>
              <w:spacing w:after="0" w:line="240" w:lineRule="auto"/>
            </w:pPr>
            <w:r>
              <w:rPr>
                <w:b w:val="0"/>
                <w:color w:val="172033"/>
                <w:sz w:val="15"/>
              </w:rPr>
              <w:t>No runtime dependency or adapter in the current POC</w:t>
            </w:r>
          </w:p>
        </w:tc>
        <w:tc>
          <w:tcPr>
            <w:tcW w:type="dxa" w:w="2466"/>
            <w:tcMar>
              <w:top w:w="70" w:type="dxa"/>
              <w:start w:w="80" w:type="dxa"/>
              <w:bottom w:w="70" w:type="dxa"/>
              <w:end w:w="80" w:type="dxa"/>
            </w:tcMar>
            <w:vAlign w:val="top"/>
          </w:tcPr>
          <w:p>
            <w:pPr>
              <w:keepLines/>
              <w:spacing w:after="0" w:line="240" w:lineRule="auto"/>
            </w:pPr>
            <w:r>
              <w:rPr>
                <w:b w:val="0"/>
                <w:color w:val="172033"/>
                <w:sz w:val="15"/>
              </w:rPr>
              <w:t>Requires separate design and authorization</w:t>
            </w:r>
          </w:p>
        </w:tc>
        <w:tc>
          <w:tcPr>
            <w:tcW w:type="dxa" w:w="2466"/>
            <w:tcMar>
              <w:top w:w="70" w:type="dxa"/>
              <w:start w:w="80" w:type="dxa"/>
              <w:bottom w:w="70" w:type="dxa"/>
              <w:end w:w="80" w:type="dxa"/>
            </w:tcMar>
            <w:vAlign w:val="top"/>
          </w:tcPr>
          <w:p>
            <w:pPr>
              <w:keepLines/>
              <w:spacing w:after="0" w:line="240" w:lineRule="auto"/>
            </w:pPr>
            <w:r>
              <w:rPr>
                <w:b w:val="0"/>
                <w:color w:val="172033"/>
                <w:sz w:val="15"/>
              </w:rPr>
              <w:t>Proposed future extension</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Aggregated management feedback</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No content-free event pipeline, aggregation service, or reporting layer</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Requires privacy contract, cohorts, access controls, retention, and pilot evidence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Proposed future extension</w:t>
            </w:r>
          </w:p>
        </w:tc>
      </w:tr>
    </w:tbl>
    <w:p>
      <w:pPr>
        <w:spacing w:after="0"/>
      </w:pPr>
    </w:p>
    <w:p>
      <w:pPr>
        <w:pStyle w:val="Heading2"/>
        <w:keepNext/>
      </w:pPr>
      <w:r>
        <w:rPr>
          <w:b w:val="0"/>
        </w:rPr>
        <w:t>3.1 Safe current claim</w:t>
      </w:r>
    </w:p>
    <w:p>
      <w:r>
        <w:rPr>
          <w:b w:val="0"/>
        </w:rPr>
        <w:t>The current functional branch contains a locally qualified, consent-based, project-aware Prompt Optimizer POC with deterministic local operation, inspectable context and composition, bounded durable state, local feedback primitives, and scoped reset. It must not be described as production-complete, real-provider-quality-qualified, merged to main, released, or already integrated with a PMS or management reporting layer.</w:t>
      </w:r>
    </w:p>
    <w:p>
      <w:r>
        <w:br w:type="page"/>
      </w:r>
    </w:p>
    <w:p>
      <w:pPr>
        <w:pStyle w:val="Heading1"/>
        <w:keepNext/>
      </w:pPr>
      <w:r>
        <w:rPr>
          <w:b w:val="0"/>
        </w:rPr>
        <w:t>4. Evidence summary and exact boundaries</w:t>
      </w:r>
    </w:p>
    <w:p>
      <w:pPr>
        <w:pStyle w:val="Heading2"/>
        <w:keepNext/>
      </w:pPr>
      <w:r>
        <w:rPr>
          <w:b w:val="0"/>
        </w:rPr>
        <w:t xml:space="preserve">4.1 Positive local evidence at </w:t>
      </w:r>
      <w:r>
        <w:rPr>
          <w:rFonts w:ascii="Aptos Mono" w:hAnsi="Aptos Mono"/>
          <w:color w:val="17365D"/>
          <w:sz w:val="16"/>
        </w:rPr>
        <w:t>5088dbf</w:t>
      </w:r>
    </w:p>
    <w:p>
      <w:pPr>
        <w:pStyle w:val="ListBullet"/>
      </w:pPr>
      <w:r>
        <w:rPr>
          <w:b w:val="0"/>
        </w:rPr>
        <w:t>421 repository tests passed: 104 prompt optimizer, 31 workspace, 66 core, 16 catalog, 172 host, and 32 webview;</w:t>
      </w:r>
    </w:p>
    <w:p>
      <w:pPr>
        <w:pStyle w:val="ListBullet"/>
      </w:pPr>
      <w:r>
        <w:rPr>
          <w:b w:val="0"/>
        </w:rPr>
        <w:t>focused semantic/projection, host transport/activity, and webview UI suites passed;</w:t>
      </w:r>
    </w:p>
    <w:p>
      <w:pPr>
        <w:pStyle w:val="ListBullet"/>
      </w:pPr>
      <w:r>
        <w:rPr>
          <w:b w:val="0"/>
        </w:rPr>
        <w:t>all six package typechecks passed;</w:t>
      </w:r>
    </w:p>
    <w:p>
      <w:pPr>
        <w:pStyle w:val="ListBullet"/>
      </w:pPr>
      <w:r>
        <w:rPr>
          <w:b w:val="0"/>
        </w:rPr>
        <w:t>schema export was unchanged;</w:t>
      </w:r>
    </w:p>
    <w:p>
      <w:pPr>
        <w:pStyle w:val="ListBullet"/>
      </w:pPr>
      <w:r>
        <w:rPr>
          <w:b w:val="0"/>
        </w:rPr>
        <w:t xml:space="preserve">build, package creation, archive inspection, and </w:t>
      </w:r>
      <w:r>
        <w:rPr>
          <w:rFonts w:ascii="Aptos Mono" w:hAnsi="Aptos Mono"/>
          <w:color w:val="17365D"/>
          <w:sz w:val="16"/>
        </w:rPr>
        <w:t>git diff --check</w:t>
      </w:r>
      <w:r>
        <w:rPr>
          <w:b w:val="0"/>
        </w:rPr>
        <w:t xml:space="preserve"> passed;</w:t>
      </w:r>
    </w:p>
    <w:p>
      <w:pPr>
        <w:pStyle w:val="ListBullet"/>
      </w:pPr>
      <w:r>
        <w:rPr>
          <w:b w:val="0"/>
        </w:rPr>
        <w:t>a 360 × 640 Step 3 review layout rendered with no horizontal overflow;</w:t>
      </w:r>
    </w:p>
    <w:p>
      <w:pPr>
        <w:pStyle w:val="ListBullet"/>
      </w:pPr>
      <w:r>
        <w:rPr>
          <w:b w:val="0"/>
        </w:rPr>
        <w:t>same-process installed functional verification passed;</w:t>
      </w:r>
    </w:p>
    <w:p>
      <w:pPr>
        <w:pStyle w:val="ListBullet"/>
      </w:pPr>
      <w:r>
        <w:rPr>
          <w:b w:val="0"/>
        </w:rPr>
        <w:t>fresh install, uninstall, absence check, and reinstall passed;</w:t>
      </w:r>
    </w:p>
    <w:p>
      <w:pPr>
        <w:pStyle w:val="ListBullet"/>
      </w:pPr>
      <w:r>
        <w:rPr>
          <w:b w:val="0"/>
        </w:rPr>
        <w:t>model-host syntax checks, active tests, and recovered simulator scenarios passed;</w:t>
      </w:r>
    </w:p>
    <w:p>
      <w:pPr>
        <w:pStyle w:val="ListBullet"/>
      </w:pPr>
      <w:r>
        <w:rPr>
          <w:b w:val="0"/>
        </w:rPr>
        <w:t xml:space="preserve">exact-head GitHub Verify DWI run </w:t>
      </w:r>
      <w:r>
        <w:rPr>
          <w:rFonts w:ascii="Aptos Mono" w:hAnsi="Aptos Mono"/>
          <w:color w:val="17365D"/>
          <w:sz w:val="16"/>
        </w:rPr>
        <w:t>33474904618</w:t>
      </w:r>
      <w:r>
        <w:rPr>
          <w:b w:val="0"/>
        </w:rPr>
        <w:t xml:space="preserve"> succeeded.</w:t>
      </w:r>
    </w:p>
    <w:p>
      <w:pPr>
        <w:pStyle w:val="Heading2"/>
        <w:keepNext/>
      </w:pPr>
      <w:r>
        <w:rPr>
          <w:b w:val="0"/>
        </w:rPr>
        <w:t>4.2 Current package identity</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Property</w:t>
            </w:r>
          </w:p>
        </w:tc>
        <w:tc>
          <w:tcPr>
            <w:tcW w:type="dxa" w:w="4933"/>
            <w:shd w:fill="17365D"/>
            <w:tcMar>
              <w:top w:w="70" w:type="dxa"/>
              <w:start w:w="80" w:type="dxa"/>
              <w:bottom w:w="70" w:type="dxa"/>
              <w:end w:w="80" w:type="dxa"/>
            </w:tcMar>
          </w:tcPr>
          <w:p>
            <w:pPr>
              <w:keepLines/>
              <w:spacing w:after="0"/>
            </w:pPr>
            <w:r>
              <w:rPr>
                <w:b/>
                <w:color w:val="FFFFFF"/>
                <w:sz w:val="15"/>
              </w:rPr>
              <w:t>Value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Extension identity</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dwi-poc.developer-work-intelligence@0.1.0</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Source commit</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5088dbf6e5fdeea2415b991c429de8e5229d7a7b</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Tracked source clean at generation</w:t>
            </w:r>
          </w:p>
        </w:tc>
        <w:tc>
          <w:tcPr>
            <w:tcW w:type="dxa" w:w="4933"/>
            <w:tcMar>
              <w:top w:w="70" w:type="dxa"/>
              <w:start w:w="80" w:type="dxa"/>
              <w:bottom w:w="70" w:type="dxa"/>
              <w:end w:w="80" w:type="dxa"/>
            </w:tcMar>
            <w:vAlign w:val="top"/>
          </w:tcPr>
          <w:p>
            <w:pPr>
              <w:keepLines/>
              <w:spacing w:after="0" w:line="240" w:lineRule="auto"/>
            </w:pPr>
            <w:r>
              <w:rPr>
                <w:b w:val="0"/>
                <w:color w:val="172033"/>
                <w:sz w:val="15"/>
              </w:rPr>
              <w:t>Yes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Archive entries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387</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Bytes</w:t>
            </w:r>
          </w:p>
        </w:tc>
        <w:tc>
          <w:tcPr>
            <w:tcW w:type="dxa" w:w="4933"/>
            <w:tcMar>
              <w:top w:w="70" w:type="dxa"/>
              <w:start w:w="80" w:type="dxa"/>
              <w:bottom w:w="70" w:type="dxa"/>
              <w:end w:w="80" w:type="dxa"/>
            </w:tcMar>
            <w:vAlign w:val="top"/>
          </w:tcPr>
          <w:p>
            <w:pPr>
              <w:keepLines/>
              <w:spacing w:after="0" w:line="240" w:lineRule="auto"/>
            </w:pPr>
            <w:r>
              <w:rPr>
                <w:b w:val="0"/>
                <w:color w:val="172033"/>
                <w:sz w:val="15"/>
              </w:rPr>
              <w:t>684,130</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SHA-256</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954ce0102754b79f7b3503bfe0c9053ba30ae21ab95177cc55d28c7643d2567b</w:t>
            </w:r>
          </w:p>
        </w:tc>
      </w:tr>
    </w:tbl>
    <w:p>
      <w:pPr>
        <w:spacing w:after="0"/>
      </w:pPr>
    </w:p>
    <w:p>
      <w:pPr>
        <w:pStyle w:val="Heading2"/>
        <w:keepNext/>
      </w:pPr>
      <w:r>
        <w:rPr>
          <w:b w:val="0"/>
        </w:rPr>
        <w:t>4.3 Continuity evidence boundary</w:t>
      </w:r>
    </w:p>
    <w:p>
      <w:r>
        <w:rPr>
          <w:b w:val="0"/>
        </w:rPr>
        <w:t>Earlier package evidence qualified a three-process installed sequence in one disposable portable profile:</w:t>
      </w:r>
    </w:p>
    <w:p>
      <w:pPr>
        <w:pStyle w:val="ListNumber"/>
      </w:pPr>
      <w:r>
        <w:rPr>
          <w:b w:val="0"/>
        </w:rPr>
        <w:t>install and open DWI;</w:t>
      </w:r>
    </w:p>
    <w:p>
      <w:pPr>
        <w:pStyle w:val="ListNumber"/>
      </w:pPr>
      <w:r>
        <w:rPr>
          <w:b w:val="0"/>
        </w:rPr>
        <w:t>complete native consent and project-brief approval;</w:t>
      </w:r>
    </w:p>
    <w:p>
      <w:pPr>
        <w:pStyle w:val="ListNumber"/>
      </w:pPr>
      <w:r>
        <w:rPr>
          <w:b w:val="0"/>
        </w:rPr>
        <w:t>create and save a deterministic local review;</w:t>
      </w:r>
    </w:p>
    <w:p>
      <w:pPr>
        <w:pStyle w:val="ListNumber"/>
      </w:pPr>
      <w:r>
        <w:rPr>
          <w:b w:val="0"/>
        </w:rPr>
        <w:t>close VS Code gracefully;</w:t>
      </w:r>
    </w:p>
    <w:p>
      <w:pPr>
        <w:pStyle w:val="ListNumber"/>
      </w:pPr>
      <w:r>
        <w:rPr>
          <w:b w:val="0"/>
        </w:rPr>
        <w:t>reopen the same profile and restore Project Meta Context and optimizer Review;</w:t>
      </w:r>
    </w:p>
    <w:p>
      <w:pPr>
        <w:pStyle w:val="ListNumber"/>
      </w:pPr>
      <w:r>
        <w:rPr>
          <w:b w:val="0"/>
        </w:rPr>
        <w:t>run optimizer-only reset;</w:t>
      </w:r>
    </w:p>
    <w:p>
      <w:pPr>
        <w:pStyle w:val="ListNumber"/>
      </w:pPr>
      <w:r>
        <w:rPr>
          <w:b w:val="0"/>
        </w:rPr>
        <w:t>reopen again and confirm approved project context remains while optimizer state remains cleared.</w:t>
      </w:r>
    </w:p>
    <w:p>
      <w:r>
        <w:rPr>
          <w:b w:val="0"/>
        </w:rPr>
        <w:t xml:space="preserve">The latest exact-tree attempt did not repeat that proof. Three attempts were blocked before product-flow assertions because macOS System Events exposed no disposable Code window or native consent sheet. Extension hosts exited cleanly, temporary profiles were removed, and no provider call occurred. The result is </w:t>
      </w:r>
      <w:r>
        <w:rPr>
          <w:b/>
        </w:rPr>
        <w:t>automation-seam blocked</w:t>
      </w:r>
      <w:r>
        <w:rPr>
          <w:b w:val="0"/>
        </w:rPr>
        <w:t>, not a product failure and not a fresh cross-process pass.</w:t>
      </w:r>
    </w:p>
    <w:p>
      <w:pPr>
        <w:pStyle w:val="Heading2"/>
        <w:keepNext/>
      </w:pPr>
      <w:r>
        <w:rPr>
          <w:b w:val="0"/>
        </w:rPr>
        <w:t>4.4 Evidence not established</w:t>
      </w:r>
    </w:p>
    <w:p>
      <w:pPr>
        <w:pStyle w:val="ListBullet"/>
      </w:pPr>
      <w:r>
        <w:rPr>
          <w:b w:val="0"/>
        </w:rPr>
        <w:t>real-provider semantic improvement;</w:t>
      </w:r>
    </w:p>
    <w:p>
      <w:pPr>
        <w:pStyle w:val="ListBullet"/>
      </w:pPr>
      <w:r>
        <w:rPr>
          <w:b w:val="0"/>
        </w:rPr>
        <w:t>live provider cost and latency bounds;</w:t>
      </w:r>
    </w:p>
    <w:p>
      <w:pPr>
        <w:pStyle w:val="ListBullet"/>
      </w:pPr>
      <w:r>
        <w:rPr>
          <w:b w:val="0"/>
        </w:rPr>
        <w:t>fixed-executor comparative gain;</w:t>
      </w:r>
    </w:p>
    <w:p>
      <w:pPr>
        <w:pStyle w:val="ListBullet"/>
      </w:pPr>
      <w:r>
        <w:rPr>
          <w:b w:val="0"/>
        </w:rPr>
        <w:t>focused installed clarification answer/application;</w:t>
      </w:r>
    </w:p>
    <w:p>
      <w:pPr>
        <w:pStyle w:val="ListBullet"/>
      </w:pPr>
      <w:r>
        <w:rPr>
          <w:b w:val="0"/>
        </w:rPr>
        <w:t>minimum advertised editor-version end-to-end coverage;</w:t>
      </w:r>
    </w:p>
    <w:p>
      <w:pPr>
        <w:pStyle w:val="ListBullet"/>
      </w:pPr>
      <w:r>
        <w:rPr>
          <w:b w:val="0"/>
        </w:rPr>
        <w:t>production distribution, rollback, marketplace, merge, tag, or release readiness;</w:t>
      </w:r>
    </w:p>
    <w:p>
      <w:pPr>
        <w:pStyle w:val="ListBullet"/>
      </w:pPr>
      <w:r>
        <w:rPr>
          <w:b w:val="0"/>
        </w:rPr>
        <w:t>PMS integration, organization policy service, or management analytics.</w:t>
      </w:r>
    </w:p>
    <w:p>
      <w:r>
        <w:br w:type="page"/>
      </w:r>
    </w:p>
    <w:p>
      <w:pPr>
        <w:pStyle w:val="Heading1"/>
        <w:keepNext/>
      </w:pPr>
      <w:r>
        <w:rPr>
          <w:b w:val="0"/>
        </w:rPr>
        <w:t>5. Focused clarification: the clearest product extension gap</w:t>
      </w:r>
    </w:p>
    <w:p>
      <w:pPr>
        <w:pStyle w:val="Heading2"/>
        <w:keepNext/>
      </w:pPr>
      <w:r>
        <w:rPr>
          <w:b w:val="0"/>
        </w:rPr>
        <w:t>5.1 What exists</w:t>
      </w:r>
    </w:p>
    <w:p>
      <w:r>
        <w:rPr>
          <w:b w:val="0"/>
        </w:rPr>
        <w:t>The domain supports a bounded set of material questions, canonical section targeting, answers, assumptions, and dependency invalidation. The UI can show material project questions and route the developer to relevant context. The shared policy permits at most three questions and prefers zero.</w:t>
      </w:r>
    </w:p>
    <w:p>
      <w:pPr>
        <w:pStyle w:val="Heading2"/>
        <w:keepNext/>
      </w:pPr>
      <w:r>
        <w:rPr>
          <w:b w:val="0"/>
        </w:rPr>
        <w:t>5.2 What the installed experience does not yet complete</w:t>
      </w:r>
    </w:p>
    <w:p>
      <w:pPr>
        <w:pStyle w:val="ListBullet"/>
      </w:pPr>
      <w:r>
        <w:rPr>
          <w:b w:val="0"/>
        </w:rPr>
        <w:t>present one concise question at a time;</w:t>
      </w:r>
    </w:p>
    <w:p>
      <w:pPr>
        <w:pStyle w:val="ListBullet"/>
      </w:pPr>
      <w:r>
        <w:rPr>
          <w:b w:val="0"/>
        </w:rPr>
        <w:t>support explicit answer or skip;</w:t>
      </w:r>
    </w:p>
    <w:p>
      <w:pPr>
        <w:pStyle w:val="ListBullet"/>
      </w:pPr>
      <w:r>
        <w:rPr>
          <w:b w:val="0"/>
        </w:rPr>
        <w:t>bind the question and answer to session ID, current revision, base hash, and source-plan version;</w:t>
      </w:r>
    </w:p>
    <w:p>
      <w:pPr>
        <w:pStyle w:val="ListBullet"/>
      </w:pPr>
      <w:r>
        <w:rPr>
          <w:b w:val="0"/>
        </w:rPr>
        <w:t>invalidate stale answers when the task or approved project context changes materially;</w:t>
      </w:r>
    </w:p>
    <w:p>
      <w:pPr>
        <w:pStyle w:val="ListBullet"/>
      </w:pPr>
      <w:r>
        <w:rPr>
          <w:b w:val="0"/>
        </w:rPr>
        <w:t>apply the answer deterministically to the intended prompt section;</w:t>
      </w:r>
    </w:p>
    <w:p>
      <w:pPr>
        <w:pStyle w:val="ListBullet"/>
      </w:pPr>
      <w:r>
        <w:rPr>
          <w:b w:val="0"/>
        </w:rPr>
        <w:t>return the developer to the exact Input, Resolve, or Review position;</w:t>
      </w:r>
    </w:p>
    <w:p>
      <w:pPr>
        <w:pStyle w:val="ListBullet"/>
      </w:pPr>
      <w:r>
        <w:rPr>
          <w:b w:val="0"/>
        </w:rPr>
        <w:t>prove recovery, reset, accessibility, and no-egress behavior in the packaged installed journey.</w:t>
      </w:r>
    </w:p>
    <w:p>
      <w:pPr>
        <w:pStyle w:val="Heading2"/>
        <w:keepNext/>
      </w:pPr>
      <w:r>
        <w:rPr>
          <w:b w:val="0"/>
        </w:rPr>
        <w:t>5.3 Recommended completion contract</w:t>
      </w:r>
    </w:p>
    <w:p>
      <w:pPr>
        <w:pStyle w:val="ListNumber"/>
      </w:pPr>
      <w:r>
        <w:rPr>
          <w:b w:val="0"/>
        </w:rPr>
        <w:t>Ask only when the answer can materially change the result and is absent from approved context.</w:t>
      </w:r>
    </w:p>
    <w:p>
      <w:pPr>
        <w:pStyle w:val="ListNumber"/>
      </w:pPr>
      <w:r>
        <w:rPr>
          <w:b w:val="0"/>
        </w:rPr>
        <w:t>Preserve the shared maximum of three questions and continue to prefer zero.</w:t>
      </w:r>
    </w:p>
    <w:p>
      <w:pPr>
        <w:pStyle w:val="ListNumber"/>
      </w:pPr>
      <w:r>
        <w:rPr>
          <w:b w:val="0"/>
        </w:rPr>
        <w:t>Offer answer and explicit skip; never invent a default.</w:t>
      </w:r>
    </w:p>
    <w:p>
      <w:pPr>
        <w:pStyle w:val="ListNumber"/>
      </w:pPr>
      <w:r>
        <w:rPr>
          <w:b w:val="0"/>
        </w:rPr>
        <w:t>Bind every answer to the current host-owned session and source-plan identity.</w:t>
      </w:r>
    </w:p>
    <w:p>
      <w:pPr>
        <w:pStyle w:val="ListNumber"/>
      </w:pPr>
      <w:r>
        <w:rPr>
          <w:b w:val="0"/>
        </w:rPr>
        <w:t>Map the answer deterministically into the correct canonical section.</w:t>
      </w:r>
    </w:p>
    <w:p>
      <w:pPr>
        <w:pStyle w:val="ListNumber"/>
      </w:pPr>
      <w:r>
        <w:rPr>
          <w:b w:val="0"/>
        </w:rPr>
        <w:t>Invalidate only true dependents and preserve unaffected work.</w:t>
      </w:r>
    </w:p>
    <w:p>
      <w:pPr>
        <w:pStyle w:val="ListNumber"/>
      </w:pPr>
      <w:r>
        <w:rPr>
          <w:b w:val="0"/>
        </w:rPr>
        <w:t>Treat the answer as task/session evidence by default.</w:t>
      </w:r>
    </w:p>
    <w:p>
      <w:pPr>
        <w:pStyle w:val="ListNumber"/>
      </w:pPr>
      <w:r>
        <w:rPr>
          <w:b w:val="0"/>
        </w:rPr>
        <w:t>Require a separate reviewed action before promoting repeated task evidence into long-lived Project Meta Context.</w:t>
      </w:r>
    </w:p>
    <w:p>
      <w:pPr>
        <w:pStyle w:val="ListNumber"/>
      </w:pPr>
      <w:r>
        <w:rPr>
          <w:b w:val="0"/>
        </w:rPr>
        <w:t>Qualify keyboard behavior, narrow layout, recovery, restart, reset, and no provider egress.</w:t>
      </w:r>
    </w:p>
    <w:p>
      <w:r>
        <w:rPr>
          <w:b w:val="0"/>
        </w:rPr>
        <w:t>This slice should close before PMS-informed budgeting is allowed to change composition depth. Otherwise management integration would amplify an interaction contract that is still incomplete at its most important ask-before-guessing seam.</w:t>
      </w:r>
    </w:p>
    <w:p>
      <w:r>
        <w:br w:type="page"/>
      </w:r>
    </w:p>
    <w:p>
      <w:pPr>
        <w:pStyle w:val="Heading1"/>
        <w:keepNext/>
      </w:pPr>
      <w:r>
        <w:rPr>
          <w:b w:val="0"/>
        </w:rPr>
        <w:t>6. Persistence, reset, and local feedback foundations</w:t>
      </w:r>
    </w:p>
    <w:p>
      <w:pPr>
        <w:pStyle w:val="Heading2"/>
        <w:keepNext/>
      </w:pPr>
      <w:r>
        <w:rPr>
          <w:b w:val="0"/>
        </w:rPr>
        <w:t>6.1 Workspace-scoped session authority</w:t>
      </w:r>
    </w:p>
    <w:p>
      <w:r>
        <w:rPr>
          <w:b w:val="0"/>
        </w:rPr>
        <w:t xml:space="preserve">The current session design uses </w:t>
      </w:r>
      <w:r>
        <w:rPr>
          <w:rFonts w:ascii="Aptos Mono" w:hAnsi="Aptos Mono"/>
          <w:color w:val="17365D"/>
          <w:sz w:val="16"/>
        </w:rPr>
        <w:t>dwi.promptOptimizer.sessions.v1</w:t>
      </w:r>
      <w:r>
        <w:rPr>
          <w:b w:val="0"/>
        </w:rPr>
        <w:t xml:space="preserve"> in extension-managed workspace storage. Recorded controls include:</w:t>
      </w:r>
    </w:p>
    <w:p>
      <w:pPr>
        <w:pStyle w:val="ListBullet"/>
      </w:pPr>
      <w:r>
        <w:rPr>
          <w:b w:val="0"/>
        </w:rPr>
        <w:t>checkout-local workspace fingerprint isolation;</w:t>
      </w:r>
    </w:p>
    <w:p>
      <w:pPr>
        <w:pStyle w:val="ListBullet"/>
      </w:pPr>
      <w:r>
        <w:rPr>
          <w:b w:val="0"/>
        </w:rPr>
        <w:t>exact-key validation and a versioned envelope;</w:t>
      </w:r>
    </w:p>
    <w:p>
      <w:pPr>
        <w:pStyle w:val="ListBullet"/>
      </w:pPr>
      <w:r>
        <w:rPr>
          <w:b w:val="0"/>
        </w:rPr>
        <w:t>maximum 50 sessions;</w:t>
      </w:r>
    </w:p>
    <w:p>
      <w:pPr>
        <w:pStyle w:val="ListBullet"/>
      </w:pPr>
      <w:r>
        <w:rPr>
          <w:b w:val="0"/>
        </w:rPr>
        <w:t>maximum 256 KiB per session measured from serialized UTF-8 JSON;</w:t>
      </w:r>
    </w:p>
    <w:p>
      <w:pPr>
        <w:pStyle w:val="ListBullet"/>
      </w:pPr>
      <w:r>
        <w:rPr>
          <w:b w:val="0"/>
        </w:rPr>
        <w:t>maximum five recents per session;</w:t>
      </w:r>
    </w:p>
    <w:p>
      <w:pPr>
        <w:pStyle w:val="ListBullet"/>
      </w:pPr>
      <w:r>
        <w:rPr>
          <w:b w:val="0"/>
        </w:rPr>
        <w:t>optimistic revisions and stale-write rejection;</w:t>
      </w:r>
    </w:p>
    <w:p>
      <w:pPr>
        <w:pStyle w:val="ListBullet"/>
      </w:pPr>
      <w:r>
        <w:rPr>
          <w:b w:val="0"/>
        </w:rPr>
        <w:t>safe handling of corrupt, oversized, and unknown-newer records;</w:t>
      </w:r>
    </w:p>
    <w:p>
      <w:pPr>
        <w:pStyle w:val="ListBullet"/>
      </w:pPr>
      <w:r>
        <w:rPr>
          <w:b w:val="0"/>
        </w:rPr>
        <w:t>one-time import of valid legacy state only when the new store is absent;</w:t>
      </w:r>
    </w:p>
    <w:p>
      <w:pPr>
        <w:pStyle w:val="ListBullet"/>
      </w:pPr>
      <w:r>
        <w:rPr>
          <w:b w:val="0"/>
        </w:rPr>
        <w:t>compatibility mirrors for rollback, not competing recovery authority;</w:t>
      </w:r>
    </w:p>
    <w:p>
      <w:pPr>
        <w:pStyle w:val="ListBullet"/>
      </w:pPr>
      <w:r>
        <w:rPr>
          <w:b w:val="0"/>
        </w:rPr>
        <w:t>context-bound invalidation after project refresh, review, or approved brief changes.</w:t>
      </w:r>
    </w:p>
    <w:p>
      <w:pPr>
        <w:pStyle w:val="Heading2"/>
        <w:keepNext/>
      </w:pPr>
      <w:r>
        <w:rPr>
          <w:b w:val="0"/>
        </w:rPr>
        <w:t>6.2 Scoped reset</w:t>
      </w:r>
    </w:p>
    <w:p>
      <w:r>
        <w:rPr>
          <w:b w:val="0"/>
        </w:rPr>
        <w:t>Optimizer-only reset is deliberately asymmetric:</w:t>
      </w:r>
    </w:p>
    <w:p>
      <w:r>
        <w:rPr>
          <w:b/>
        </w:rPr>
        <w:t>Cleared:</w:t>
      </w:r>
      <w:r>
        <w:rPr>
          <w:b w:val="0"/>
        </w:rPr>
        <w:t xml:space="preserve"> task draft, local or validated candidates, review state, optimizer recents, and optimizer view state.</w:t>
      </w:r>
    </w:p>
    <w:p>
      <w:r>
        <w:rPr>
          <w:b/>
        </w:rPr>
        <w:t>Retained:</w:t>
      </w:r>
      <w:r>
        <w:rPr>
          <w:b w:val="0"/>
        </w:rPr>
        <w:t xml:space="preserve"> approved Project Meta Context, </w:t>
      </w:r>
      <w:r>
        <w:rPr>
          <w:rFonts w:ascii="Aptos Mono" w:hAnsi="Aptos Mono"/>
          <w:color w:val="17365D"/>
          <w:sz w:val="16"/>
        </w:rPr>
        <w:t>.dwi/project.yaml</w:t>
      </w:r>
      <w:r>
        <w:rPr>
          <w:b w:val="0"/>
        </w:rPr>
        <w:t>, project consent, and provider settings.</w:t>
      </w:r>
    </w:p>
    <w:p>
      <w:r>
        <w:rPr>
          <w:b w:val="0"/>
        </w:rPr>
        <w:t>This is essential to the product direction. Clearing one task must not erase the approved project knowledge layer that later work depends on.</w:t>
      </w:r>
    </w:p>
    <w:p>
      <w:pPr>
        <w:pStyle w:val="Heading2"/>
        <w:keepNext/>
      </w:pPr>
      <w:r>
        <w:rPr>
          <w:b w:val="0"/>
        </w:rPr>
        <w:t>6.3 Existing feedback primitive</w:t>
      </w:r>
    </w:p>
    <w:p>
      <w:r>
        <w:rPr>
          <w:b w:val="0"/>
        </w:rPr>
        <w:t xml:space="preserve">The current source provides a local </w:t>
      </w:r>
      <w:r>
        <w:rPr>
          <w:rFonts w:ascii="Aptos Mono" w:hAnsi="Aptos Mono"/>
          <w:color w:val="17365D"/>
          <w:sz w:val="16"/>
        </w:rPr>
        <w:t>DwiFeedback</w:t>
      </w:r>
      <w:r>
        <w:rPr>
          <w:b w:val="0"/>
        </w:rPr>
        <w:t xml:space="preserve"> structure with:</w:t>
      </w:r>
    </w:p>
    <w:p>
      <w:pPr>
        <w:pStyle w:val="ListBullet"/>
      </w:pPr>
      <w:r>
        <w:rPr>
          <w:rFonts w:ascii="Aptos Mono" w:hAnsi="Aptos Mono"/>
          <w:color w:val="17365D"/>
          <w:sz w:val="16"/>
        </w:rPr>
        <w:t>helpful</w:t>
      </w:r>
      <w:r>
        <w:rPr>
          <w:b w:val="0"/>
        </w:rPr>
        <w:t xml:space="preserve">, </w:t>
      </w:r>
      <w:r>
        <w:rPr>
          <w:rFonts w:ascii="Aptos Mono" w:hAnsi="Aptos Mono"/>
          <w:color w:val="17365D"/>
          <w:sz w:val="16"/>
        </w:rPr>
        <w:t>mixed</w:t>
      </w:r>
      <w:r>
        <w:rPr>
          <w:b w:val="0"/>
        </w:rPr>
        <w:t xml:space="preserve">, or </w:t>
      </w:r>
      <w:r>
        <w:rPr>
          <w:rFonts w:ascii="Aptos Mono" w:hAnsi="Aptos Mono"/>
          <w:color w:val="17365D"/>
          <w:sz w:val="16"/>
        </w:rPr>
        <w:t>not-helpful</w:t>
      </w:r>
      <w:r>
        <w:rPr>
          <w:b w:val="0"/>
        </w:rPr>
        <w:t xml:space="preserve"> rating;</w:t>
      </w:r>
    </w:p>
    <w:p>
      <w:pPr>
        <w:pStyle w:val="ListBullet"/>
      </w:pPr>
      <w:r>
        <w:rPr>
          <w:b w:val="0"/>
        </w:rPr>
        <w:t>bounded tags;</w:t>
      </w:r>
    </w:p>
    <w:p>
      <w:pPr>
        <w:pStyle w:val="ListBullet"/>
      </w:pPr>
      <w:r>
        <w:rPr>
          <w:b w:val="0"/>
        </w:rPr>
        <w:t>optional developer note;</w:t>
      </w:r>
    </w:p>
    <w:p>
      <w:pPr>
        <w:pStyle w:val="ListBullet"/>
      </w:pPr>
      <w:r>
        <w:rPr>
          <w:b w:val="0"/>
        </w:rPr>
        <w:t>selected modules;</w:t>
      </w:r>
    </w:p>
    <w:p>
      <w:pPr>
        <w:pStyle w:val="ListBullet"/>
      </w:pPr>
      <w:r>
        <w:rPr>
          <w:b w:val="0"/>
        </w:rPr>
        <w:t>deterministic token estimate;</w:t>
      </w:r>
    </w:p>
    <w:p>
      <w:pPr>
        <w:pStyle w:val="ListBullet"/>
      </w:pPr>
      <w:r>
        <w:rPr>
          <w:b w:val="0"/>
        </w:rPr>
        <w:t>elapsed time;</w:t>
      </w:r>
    </w:p>
    <w:p>
      <w:pPr>
        <w:pStyle w:val="ListBullet"/>
      </w:pPr>
      <w:r>
        <w:rPr>
          <w:b w:val="0"/>
        </w:rPr>
        <w:t>local evaluation markdown export;</w:t>
      </w:r>
    </w:p>
    <w:p>
      <w:pPr>
        <w:pStyle w:val="ListBullet"/>
      </w:pPr>
      <w:r>
        <w:rPr>
          <w:b w:val="0"/>
        </w:rPr>
        <w:t>save and delete behavior in the host/webview flow.</w:t>
      </w:r>
    </w:p>
    <w:p>
      <w:r>
        <w:rPr>
          <w:b w:val="0"/>
        </w:rPr>
        <w:t>This is useful ground-level evidence, but it is not yet a management feedback system. Free-text notes and project-specific content must not be centralized by default. Any future operational telemetry should be a new, deliberately content-free contract rather than a bulk export of local evaluation records.</w:t>
      </w:r>
    </w:p>
    <w:p>
      <w:r>
        <w:br w:type="page"/>
      </w:r>
    </w:p>
    <w:p>
      <w:pPr>
        <w:pStyle w:val="Heading1"/>
        <w:keepNext/>
      </w:pPr>
      <w:r>
        <w:rPr>
          <w:b w:val="0"/>
        </w:rPr>
        <w:t>7. Provider path and semantic qualification boundary</w:t>
      </w:r>
    </w:p>
    <w:p>
      <w:pPr>
        <w:pStyle w:val="Heading2"/>
        <w:keepNext/>
      </w:pPr>
      <w:r>
        <w:rPr>
          <w:b w:val="0"/>
        </w:rPr>
        <w:t>7.1 What is implemented locally</w:t>
      </w:r>
    </w:p>
    <w:p>
      <w:r>
        <w:rPr>
          <w:b w:val="0"/>
        </w:rPr>
        <w:t>The explicit semantic action routes through a host-only provider port. The path uses a structured V2 request, strict response validation, a bounded hash-bound patch, and deterministic compilation. Recorded local coverage includes malformed responses, timeouts, cancellation, stale results, authentication and rate limits, provider errors, truncation and refusal, hash mismatch, locked sections, invalid telemetry, and deterministic fallback.</w:t>
      </w:r>
    </w:p>
    <w:p>
      <w:r>
        <w:rPr>
          <w:b w:val="0"/>
        </w:rPr>
        <w:t>Navigation and deterministic composition do not call a provider. On semantic failure, the local candidate is preserved and labelled.</w:t>
      </w:r>
    </w:p>
    <w:p>
      <w:pPr>
        <w:pStyle w:val="Heading2"/>
        <w:keepNext/>
      </w:pPr>
      <w:r>
        <w:rPr>
          <w:b w:val="0"/>
        </w:rPr>
        <w:t>7.2 Token projection today</w:t>
      </w:r>
    </w:p>
    <w:p>
      <w:r>
        <w:rPr>
          <w:b w:val="0"/>
        </w:rPr>
        <w:t>The local POC exposes token planning in two forms:</w:t>
      </w:r>
    </w:p>
    <w:p>
      <w:pPr>
        <w:pStyle w:val="ListBullet"/>
      </w:pPr>
      <w:r>
        <w:rPr>
          <w:b w:val="0"/>
        </w:rPr>
        <w:t>a deterministic estimate derived from serialized content size and selected modules; and</w:t>
      </w:r>
    </w:p>
    <w:p>
      <w:pPr>
        <w:pStyle w:val="ListBullet"/>
      </w:pPr>
      <w:r>
        <w:rPr>
          <w:b w:val="0"/>
        </w:rPr>
        <w:t>a strict engineering token-cost projection contract attached to the same explicit semantic action.</w:t>
      </w:r>
    </w:p>
    <w:p>
      <w:r>
        <w:rPr>
          <w:b w:val="0"/>
        </w:rPr>
        <w:t>Both are estimates, not provider billing. Host-observed route metadata outranks model-authored route claims. Invalid projection metadata fails closed.</w:t>
      </w:r>
    </w:p>
    <w:p>
      <w:pPr>
        <w:pStyle w:val="Heading2"/>
        <w:keepNext/>
      </w:pPr>
      <w:r>
        <w:rPr>
          <w:b w:val="0"/>
        </w:rPr>
        <w:t>7.3 Frozen live evidence</w:t>
      </w:r>
    </w:p>
    <w:p>
      <w:r>
        <w:rPr>
          <w:b w:val="0"/>
        </w:rPr>
        <w:t>The single authorized readiness request returned HTTP 200 in 5,634 ms with reported usage of 14,526 input tokens and 5 output tokens, for 14,531 total. That exceeded the frozen 12,000-token per-call ceiling.</w:t>
      </w:r>
    </w:p>
    <w:p>
      <w:r>
        <w:rPr>
          <w:b w:val="0"/>
        </w:rPr>
        <w:t>Consequences:</w:t>
      </w:r>
    </w:p>
    <w:p>
      <w:pPr>
        <w:pStyle w:val="ListBullet"/>
      </w:pPr>
      <w:r>
        <w:rPr>
          <w:b w:val="0"/>
        </w:rPr>
        <w:t>semantic calibration calls after readiness: 0;</w:t>
      </w:r>
    </w:p>
    <w:p>
      <w:pPr>
        <w:pStyle w:val="ListBullet"/>
      </w:pPr>
      <w:r>
        <w:rPr>
          <w:b w:val="0"/>
        </w:rPr>
        <w:t>held-out optimizer calls: 0;</w:t>
      </w:r>
    </w:p>
    <w:p>
      <w:pPr>
        <w:pStyle w:val="ListBullet"/>
      </w:pPr>
      <w:r>
        <w:rPr>
          <w:b w:val="0"/>
        </w:rPr>
        <w:t>fixed-executor comparison runs: 0;</w:t>
      </w:r>
    </w:p>
    <w:p>
      <w:pPr>
        <w:pStyle w:val="ListBullet"/>
      </w:pPr>
      <w:r>
        <w:rPr>
          <w:b w:val="0"/>
        </w:rPr>
        <w:t>no retry was performed;</w:t>
      </w:r>
    </w:p>
    <w:p>
      <w:pPr>
        <w:pStyle w:val="ListBullet"/>
      </w:pPr>
      <w:r>
        <w:rPr>
          <w:b w:val="0"/>
        </w:rPr>
        <w:t>actual monetary cost remains unavailable;</w:t>
      </w:r>
    </w:p>
    <w:p>
      <w:pPr>
        <w:pStyle w:val="ListBullet"/>
      </w:pPr>
      <w:r>
        <w:rPr>
          <w:b w:val="0"/>
        </w:rPr>
        <w:t>real semantic quality remains blocked and unqualified.</w:t>
      </w:r>
    </w:p>
    <w:p>
      <w:r>
        <w:rPr>
          <w:b w:val="0"/>
        </w:rPr>
        <w:t>Any later attempt requires explicit authority that supersedes the no-retry contract while preserving the original evidence. PMS priority, sprint allocation, or management interest must never be interpreted as permission to transmit data, spend, change thresholds, or retry this lane.</w:t>
      </w:r>
    </w:p>
    <w:p>
      <w:r>
        <w:br w:type="page"/>
      </w:r>
    </w:p>
    <w:p>
      <w:pPr>
        <w:pStyle w:val="Heading1"/>
        <w:keepNext/>
      </w:pPr>
      <w:r>
        <w:rPr>
          <w:b w:val="0"/>
        </w:rPr>
        <w:t>8. Strategic extension: PMS-informed budget and operational feedback</w:t>
      </w:r>
    </w:p>
    <w:p>
      <w:pPr>
        <w:pStyle w:val="Heading2"/>
        <w:keepNext/>
      </w:pPr>
      <w:r>
        <w:rPr>
          <w:b w:val="0"/>
        </w:rPr>
        <w:t>8.1 Existing foundations that make the extension plausible</w:t>
      </w:r>
    </w:p>
    <w:p>
      <w:pPr>
        <w:pStyle w:val="ListBullet"/>
      </w:pPr>
      <w:r>
        <w:rPr>
          <w:b w:val="0"/>
        </w:rPr>
        <w:t>reviewed Project Meta Context;</w:t>
      </w:r>
    </w:p>
    <w:p>
      <w:pPr>
        <w:pStyle w:val="ListBullet"/>
      </w:pPr>
      <w:r>
        <w:rPr>
          <w:b w:val="0"/>
        </w:rPr>
        <w:t>structured assignment, task type, and criticality;</w:t>
      </w:r>
    </w:p>
    <w:p>
      <w:pPr>
        <w:pStyle w:val="ListBullet"/>
      </w:pPr>
      <w:r>
        <w:rPr>
          <w:b w:val="0"/>
        </w:rPr>
        <w:t>deterministic source planning, provenance, conflicts, and review;</w:t>
      </w:r>
    </w:p>
    <w:p>
      <w:pPr>
        <w:pStyle w:val="ListBullet"/>
      </w:pPr>
      <w:r>
        <w:rPr>
          <w:b w:val="0"/>
        </w:rPr>
        <w:t>material-gap detection;</w:t>
      </w:r>
    </w:p>
    <w:p>
      <w:pPr>
        <w:pStyle w:val="ListBullet"/>
      </w:pPr>
      <w:r>
        <w:rPr>
          <w:b w:val="0"/>
        </w:rPr>
        <w:t>explicit semantic-action boundary;</w:t>
      </w:r>
    </w:p>
    <w:p>
      <w:pPr>
        <w:pStyle w:val="ListBullet"/>
      </w:pPr>
      <w:r>
        <w:rPr>
          <w:b w:val="0"/>
        </w:rPr>
        <w:t>engineering token projection, currently uncalibrated;</w:t>
      </w:r>
    </w:p>
    <w:p>
      <w:pPr>
        <w:pStyle w:val="ListBullet"/>
      </w:pPr>
      <w:r>
        <w:rPr>
          <w:b w:val="0"/>
        </w:rPr>
        <w:t>host-owned session identity and durable local state;</w:t>
      </w:r>
    </w:p>
    <w:p>
      <w:pPr>
        <w:pStyle w:val="ListBullet"/>
      </w:pPr>
      <w:r>
        <w:rPr>
          <w:b w:val="0"/>
        </w:rPr>
        <w:t>scoped reset and local feedback primitives.</w:t>
      </w:r>
    </w:p>
    <w:p>
      <w:r>
        <w:rPr>
          <w:b w:val="0"/>
        </w:rPr>
        <w:t>These foundations mean DWI can become a governed interaction layer without allowing a PMS, dashboard, or model to own consent, source authority, safety gates, spend, or human approval.</w:t>
      </w:r>
    </w:p>
    <w:p>
      <w:pPr>
        <w:pStyle w:val="Heading2"/>
        <w:keepNext/>
      </w:pPr>
      <w:r>
        <w:rPr>
          <w:b w:val="0"/>
        </w:rPr>
        <w:t>8.2 Optional PMS adapter contract</w:t>
      </w:r>
    </w:p>
    <w:p>
      <w:r>
        <w:rPr>
          <w:b w:val="0"/>
        </w:rPr>
        <w:t>The PMS should not become an external runtime dependency for core local operation. A future adapter should supply only minimal approved metadata, such as:</w:t>
      </w:r>
    </w:p>
    <w:p>
      <w:pPr>
        <w:pStyle w:val="ListBullet"/>
      </w:pPr>
      <w:r>
        <w:rPr>
          <w:b w:val="0"/>
        </w:rPr>
        <w:t>task or work-item ID;</w:t>
      </w:r>
    </w:p>
    <w:p>
      <w:pPr>
        <w:pStyle w:val="ListBullet"/>
      </w:pPr>
      <w:r>
        <w:rPr>
          <w:b w:val="0"/>
        </w:rPr>
        <w:t>sprint or delivery window;</w:t>
      </w:r>
    </w:p>
    <w:p>
      <w:pPr>
        <w:pStyle w:val="ListBullet"/>
      </w:pPr>
      <w:r>
        <w:rPr>
          <w:b w:val="0"/>
        </w:rPr>
        <w:t>task type;</w:t>
      </w:r>
    </w:p>
    <w:p>
      <w:pPr>
        <w:pStyle w:val="ListBullet"/>
      </w:pPr>
      <w:r>
        <w:rPr>
          <w:b w:val="0"/>
        </w:rPr>
        <w:t>priority;</w:t>
      </w:r>
    </w:p>
    <w:p>
      <w:pPr>
        <w:pStyle w:val="ListBullet"/>
      </w:pPr>
      <w:r>
        <w:rPr>
          <w:b w:val="0"/>
        </w:rPr>
        <w:t>criticality or risk class;</w:t>
      </w:r>
    </w:p>
    <w:p>
      <w:pPr>
        <w:pStyle w:val="ListBullet"/>
      </w:pPr>
      <w:r>
        <w:rPr>
          <w:b w:val="0"/>
        </w:rPr>
        <w:t>complexity band or approved estimate class;</w:t>
      </w:r>
    </w:p>
    <w:p>
      <w:pPr>
        <w:pStyle w:val="ListBullet"/>
      </w:pPr>
      <w:r>
        <w:rPr>
          <w:b w:val="0"/>
        </w:rPr>
        <w:t>lifecycle stage;</w:t>
      </w:r>
    </w:p>
    <w:p>
      <w:pPr>
        <w:pStyle w:val="ListBullet"/>
      </w:pPr>
      <w:r>
        <w:rPr>
          <w:b w:val="0"/>
        </w:rPr>
        <w:t>relevant organization policy version.</w:t>
      </w:r>
    </w:p>
    <w:p>
      <w:r>
        <w:rPr>
          <w:b w:val="0"/>
        </w:rPr>
        <w:t>The adapter should exclude issue descriptions, comments, attachments, raw prompts, source files, and credentials unless a separately reviewed and consented contract explicitly requires them. Adapter absence or failure must preserve the standalone local workflow.</w:t>
      </w:r>
    </w:p>
    <w:p>
      <w:pPr>
        <w:pStyle w:val="Heading2"/>
        <w:keepNext/>
      </w:pPr>
      <w:r>
        <w:rPr>
          <w:b w:val="0"/>
        </w:rPr>
        <w:t>8.3 Policy-governed budget parameter</w:t>
      </w:r>
    </w:p>
    <w:p>
      <w:r>
        <w:rPr>
          <w:b w:val="0"/>
        </w:rPr>
        <w:t>A governance policy—not the PMS itself—maps approved task attributes to a capped budget envelope. The envelope becomes an explicit parameter to the internal composition engine.</w:t>
      </w:r>
    </w:p>
    <w:p>
      <w:r>
        <w:rPr>
          <w:b w:val="0"/>
        </w:rPr>
        <w:t>Example conceptual contract:</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Field</w:t>
            </w:r>
          </w:p>
        </w:tc>
        <w:tc>
          <w:tcPr>
            <w:tcW w:type="dxa" w:w="4933"/>
            <w:shd w:fill="17365D"/>
            <w:tcMar>
              <w:top w:w="70" w:type="dxa"/>
              <w:start w:w="80" w:type="dxa"/>
              <w:bottom w:w="70" w:type="dxa"/>
              <w:end w:w="80" w:type="dxa"/>
            </w:tcMar>
          </w:tcPr>
          <w:p>
            <w:pPr>
              <w:keepLines/>
              <w:spacing w:after="0"/>
            </w:pPr>
            <w:r>
              <w:rPr>
                <w:b/>
                <w:color w:val="FFFFFF"/>
                <w:sz w:val="15"/>
              </w:rPr>
              <w:t>Purpose</w:t>
            </w:r>
          </w:p>
        </w:tc>
      </w:tr>
      <w:tr>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policy_version</w:t>
            </w:r>
          </w:p>
        </w:tc>
        <w:tc>
          <w:tcPr>
            <w:tcW w:type="dxa" w:w="4933"/>
            <w:tcMar>
              <w:top w:w="70" w:type="dxa"/>
              <w:start w:w="80" w:type="dxa"/>
              <w:bottom w:w="70" w:type="dxa"/>
              <w:end w:w="80" w:type="dxa"/>
            </w:tcMar>
            <w:vAlign w:val="top"/>
          </w:tcPr>
          <w:p>
            <w:pPr>
              <w:keepLines/>
              <w:spacing w:after="0" w:line="240" w:lineRule="auto"/>
            </w:pPr>
            <w:r>
              <w:rPr>
                <w:b w:val="0"/>
                <w:color w:val="172033"/>
                <w:sz w:val="15"/>
              </w:rPr>
              <w:t>Identifies the reviewed allocation rule</w:t>
            </w:r>
          </w:p>
        </w:tc>
      </w:tr>
      <w:tr>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work_class</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Normalized task or workflow category</w:t>
            </w:r>
          </w:p>
        </w:tc>
      </w:tr>
      <w:tr>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criticality_band</w:t>
            </w:r>
          </w:p>
        </w:tc>
        <w:tc>
          <w:tcPr>
            <w:tcW w:type="dxa" w:w="4933"/>
            <w:tcMar>
              <w:top w:w="70" w:type="dxa"/>
              <w:start w:w="80" w:type="dxa"/>
              <w:bottom w:w="70" w:type="dxa"/>
              <w:end w:w="80" w:type="dxa"/>
            </w:tcMar>
            <w:vAlign w:val="top"/>
          </w:tcPr>
          <w:p>
            <w:pPr>
              <w:keepLines/>
              <w:spacing w:after="0" w:line="240" w:lineRule="auto"/>
            </w:pPr>
            <w:r>
              <w:rPr>
                <w:b w:val="0"/>
                <w:color w:val="172033"/>
                <w:sz w:val="15"/>
              </w:rPr>
              <w:t>Selects stricter validation or review requirements</w:t>
            </w:r>
          </w:p>
        </w:tc>
      </w:tr>
      <w:tr>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context_token_cap</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Maximum approved context allocation</w:t>
            </w:r>
          </w:p>
        </w:tc>
      </w:tr>
      <w:tr>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composition_token_cap</w:t>
            </w:r>
          </w:p>
        </w:tc>
        <w:tc>
          <w:tcPr>
            <w:tcW w:type="dxa" w:w="4933"/>
            <w:tcMar>
              <w:top w:w="70" w:type="dxa"/>
              <w:start w:w="80" w:type="dxa"/>
              <w:bottom w:w="70" w:type="dxa"/>
              <w:end w:w="80" w:type="dxa"/>
            </w:tcMar>
            <w:vAlign w:val="top"/>
          </w:tcPr>
          <w:p>
            <w:pPr>
              <w:keepLines/>
              <w:spacing w:after="0" w:line="240" w:lineRule="auto"/>
            </w:pPr>
            <w:r>
              <w:rPr>
                <w:b w:val="0"/>
                <w:color w:val="172033"/>
                <w:sz w:val="15"/>
              </w:rPr>
              <w:t>Maximum approved composition allowance</w:t>
            </w:r>
          </w:p>
        </w:tc>
      </w:tr>
      <w:tr>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total_token_cap</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Hard upper bound for the interaction</w:t>
            </w:r>
          </w:p>
        </w:tc>
      </w:tr>
      <w:tr>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provider_allowed</w:t>
            </w:r>
          </w:p>
        </w:tc>
        <w:tc>
          <w:tcPr>
            <w:tcW w:type="dxa" w:w="4933"/>
            <w:tcMar>
              <w:top w:w="70" w:type="dxa"/>
              <w:start w:w="80" w:type="dxa"/>
              <w:bottom w:w="70" w:type="dxa"/>
              <w:end w:w="80" w:type="dxa"/>
            </w:tcMar>
            <w:vAlign w:val="top"/>
          </w:tcPr>
          <w:p>
            <w:pPr>
              <w:keepLines/>
              <w:spacing w:after="0" w:line="240" w:lineRule="auto"/>
            </w:pPr>
            <w:r>
              <w:rPr>
                <w:b w:val="0"/>
                <w:color w:val="172033"/>
                <w:sz w:val="15"/>
              </w:rPr>
              <w:t>Policy eligibility only; never replaces explicit user action</w:t>
            </w:r>
          </w:p>
        </w:tc>
      </w:tr>
      <w:tr>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expires_at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Prevents stale sprint or task policy from persisting</w:t>
            </w:r>
          </w:p>
        </w:tc>
      </w:tr>
      <w:tr>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reason_codes</w:t>
            </w:r>
          </w:p>
        </w:tc>
        <w:tc>
          <w:tcPr>
            <w:tcW w:type="dxa" w:w="4933"/>
            <w:tcMar>
              <w:top w:w="70" w:type="dxa"/>
              <w:start w:w="80" w:type="dxa"/>
              <w:bottom w:w="70" w:type="dxa"/>
              <w:end w:w="80" w:type="dxa"/>
            </w:tcMar>
            <w:vAlign w:val="top"/>
          </w:tcPr>
          <w:p>
            <w:pPr>
              <w:keepLines/>
              <w:spacing w:after="0" w:line="240" w:lineRule="auto"/>
            </w:pPr>
            <w:r>
              <w:rPr>
                <w:b w:val="0"/>
                <w:color w:val="172033"/>
                <w:sz w:val="15"/>
              </w:rPr>
              <w:t>Makes the allocation explainable and auditable</w:t>
            </w:r>
          </w:p>
        </w:tc>
      </w:tr>
    </w:tbl>
    <w:p>
      <w:pPr>
        <w:spacing w:after="0"/>
      </w:pPr>
    </w:p>
    <w:p>
      <w:r>
        <w:rPr>
          <w:b w:val="0"/>
        </w:rPr>
        <w:t>Required precedence:</w:t>
      </w:r>
    </w:p>
    <w:p>
      <w:r>
        <w:rPr>
          <w:rFonts w:ascii="Aptos Mono" w:hAnsi="Aptos Mono"/>
          <w:color w:val="17365D"/>
          <w:sz w:val="16"/>
        </w:rPr>
        <w:t>Consent and data policy → immutable safety ceilings → organization budget policy → task envelope → engine allocation → explicit provider action → developer approval</w:t>
      </w:r>
    </w:p>
    <w:p>
      <w:r>
        <w:rPr>
          <w:b w:val="0"/>
        </w:rPr>
        <w:t>The engine may use the envelope to allocate approved context, select deterministic modules, or vary composition depth. It must not bypass consent, increase a hard ceiling, authorize spend, create an undisclosed provider call, or accept a result without human review.</w:t>
      </w:r>
    </w:p>
    <w:p>
      <w:pPr>
        <w:pStyle w:val="Heading2"/>
        <w:keepNext/>
      </w:pPr>
      <w:r>
        <w:rPr>
          <w:b w:val="0"/>
        </w:rPr>
        <w:t>8.4 Ground-level feedback contract</w:t>
      </w:r>
    </w:p>
    <w:p>
      <w:r>
        <w:rPr>
          <w:b w:val="0"/>
        </w:rPr>
        <w:t>Candidate content-free signals include:</w:t>
      </w:r>
    </w:p>
    <w:p>
      <w:pPr>
        <w:pStyle w:val="ListBullet"/>
      </w:pPr>
      <w:r>
        <w:rPr>
          <w:b w:val="0"/>
        </w:rPr>
        <w:t>usefulness rating;</w:t>
      </w:r>
    </w:p>
    <w:p>
      <w:pPr>
        <w:pStyle w:val="ListBullet"/>
      </w:pPr>
      <w:r>
        <w:rPr>
          <w:b w:val="0"/>
        </w:rPr>
        <w:t>save, reuse, accept, correct, or reset outcome;</w:t>
      </w:r>
    </w:p>
    <w:p>
      <w:pPr>
        <w:pStyle w:val="ListBullet"/>
      </w:pPr>
      <w:r>
        <w:rPr>
          <w:b w:val="0"/>
        </w:rPr>
        <w:t>correction category without content;</w:t>
      </w:r>
    </w:p>
    <w:p>
      <w:pPr>
        <w:pStyle w:val="ListBullet"/>
      </w:pPr>
      <w:r>
        <w:rPr>
          <w:b w:val="0"/>
        </w:rPr>
        <w:t>material-gap detected, answered, or skipped;</w:t>
      </w:r>
    </w:p>
    <w:p>
      <w:pPr>
        <w:pStyle w:val="ListBullet"/>
      </w:pPr>
      <w:r>
        <w:rPr>
          <w:b w:val="0"/>
        </w:rPr>
        <w:t>deterministic fallback class;</w:t>
      </w:r>
    </w:p>
    <w:p>
      <w:pPr>
        <w:pStyle w:val="ListBullet"/>
      </w:pPr>
      <w:r>
        <w:rPr>
          <w:b w:val="0"/>
        </w:rPr>
        <w:t>latency band;</w:t>
      </w:r>
    </w:p>
    <w:p>
      <w:pPr>
        <w:pStyle w:val="ListBullet"/>
      </w:pPr>
      <w:r>
        <w:rPr>
          <w:b w:val="0"/>
        </w:rPr>
        <w:t>estimated and observed token totals where available;</w:t>
      </w:r>
    </w:p>
    <w:p>
      <w:pPr>
        <w:pStyle w:val="ListBullet"/>
      </w:pPr>
      <w:r>
        <w:rPr>
          <w:b w:val="0"/>
        </w:rPr>
        <w:t>budget adherence or fail-closed reason;</w:t>
      </w:r>
    </w:p>
    <w:p>
      <w:pPr>
        <w:pStyle w:val="ListBullet"/>
      </w:pPr>
      <w:r>
        <w:rPr>
          <w:b w:val="0"/>
        </w:rPr>
        <w:t>workflow stage and approved work class;</w:t>
      </w:r>
    </w:p>
    <w:p>
      <w:pPr>
        <w:pStyle w:val="ListBullet"/>
      </w:pPr>
      <w:r>
        <w:rPr>
          <w:b w:val="0"/>
        </w:rPr>
        <w:t>anonymized or cohort-safe experiment variant.</w:t>
      </w:r>
    </w:p>
    <w:p>
      <w:r>
        <w:rPr>
          <w:b w:val="0"/>
        </w:rPr>
        <w:t>Raw prompts, generated output, project files, free-text notes, repository paths, personal identifiers, and secret-bearing provider data must not enter reusable management metrics. The event schema requires disclosure, retention limits, role-based access, minimum aggregation cohorts, deletion, opt-out, and purpose limitation.</w:t>
      </w:r>
    </w:p>
    <w:p>
      <w:pPr>
        <w:pStyle w:val="Heading2"/>
        <w:keepNext/>
      </w:pPr>
      <w:r>
        <w:rPr>
          <w:b w:val="0"/>
        </w:rPr>
        <w:t>8.5 Future operating loop</w:t>
      </w:r>
    </w:p>
    <w:p>
      <w:r>
        <w:rPr>
          <w:rFonts w:ascii="Aptos Mono" w:hAnsi="Aptos Mono"/>
          <w:color w:val="17365D"/>
          <w:sz w:val="16"/>
        </w:rPr>
        <w:t>Approved PMS signal → governance policy → capped budget envelope → DWI composition → developer decision → content-free outcome event → aggregated insight → reviewed policy or enablement change</w:t>
      </w:r>
    </w:p>
    <w:p>
      <w:r>
        <w:rPr>
          <w:b w:val="0"/>
        </w:rPr>
        <w:t>The loop is advisory. Aggregated evidence may guide training, documentation, workflow design, budget bands, and investment. It must not automatically change deterministic safety policy or rank an individual developer.</w:t>
      </w:r>
    </w:p>
    <w:p>
      <w:r>
        <w:br w:type="page"/>
      </w:r>
    </w:p>
    <w:p>
      <w:pPr>
        <w:pStyle w:val="Heading1"/>
        <w:keepNext/>
      </w:pPr>
      <w:r>
        <w:rPr>
          <w:b w:val="0"/>
        </w:rPr>
        <w:t>9. Management objectives and decision support</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trPr>
        <w:tc>
          <w:tcPr>
            <w:tcW w:type="dxa" w:w="2466"/>
            <w:shd w:fill="17365D"/>
            <w:tcMar>
              <w:top w:w="70" w:type="dxa"/>
              <w:start w:w="80" w:type="dxa"/>
              <w:bottom w:w="70" w:type="dxa"/>
              <w:end w:w="80" w:type="dxa"/>
            </w:tcMar>
          </w:tcPr>
          <w:p>
            <w:pPr>
              <w:keepLines/>
              <w:spacing w:after="0"/>
            </w:pPr>
            <w:r>
              <w:rPr>
                <w:b/>
                <w:color w:val="FFFFFF"/>
                <w:sz w:val="15"/>
              </w:rPr>
              <w:t>Objective area</w:t>
            </w:r>
          </w:p>
        </w:tc>
        <w:tc>
          <w:tcPr>
            <w:tcW w:type="dxa" w:w="2466"/>
            <w:shd w:fill="17365D"/>
            <w:tcMar>
              <w:top w:w="70" w:type="dxa"/>
              <w:start w:w="80" w:type="dxa"/>
              <w:bottom w:w="70" w:type="dxa"/>
              <w:end w:w="80" w:type="dxa"/>
            </w:tcMar>
          </w:tcPr>
          <w:p>
            <w:pPr>
              <w:keepLines/>
              <w:spacing w:after="0"/>
            </w:pPr>
            <w:r>
              <w:rPr>
                <w:b/>
                <w:color w:val="FFFFFF"/>
                <w:sz w:val="15"/>
              </w:rPr>
              <w:t>Privacy-safe signals</w:t>
            </w:r>
          </w:p>
        </w:tc>
        <w:tc>
          <w:tcPr>
            <w:tcW w:type="dxa" w:w="2466"/>
            <w:shd w:fill="17365D"/>
            <w:tcMar>
              <w:top w:w="70" w:type="dxa"/>
              <w:start w:w="80" w:type="dxa"/>
              <w:bottom w:w="70" w:type="dxa"/>
              <w:end w:w="80" w:type="dxa"/>
            </w:tcMar>
          </w:tcPr>
          <w:p>
            <w:pPr>
              <w:keepLines/>
              <w:spacing w:after="0"/>
            </w:pPr>
            <w:r>
              <w:rPr>
                <w:b/>
                <w:color w:val="FFFFFF"/>
                <w:sz w:val="15"/>
              </w:rPr>
              <w:t>Management decision supported</w:t>
            </w:r>
          </w:p>
        </w:tc>
        <w:tc>
          <w:tcPr>
            <w:tcW w:type="dxa" w:w="2466"/>
            <w:shd w:fill="17365D"/>
            <w:tcMar>
              <w:top w:w="70" w:type="dxa"/>
              <w:start w:w="80" w:type="dxa"/>
              <w:bottom w:w="70" w:type="dxa"/>
              <w:end w:w="80" w:type="dxa"/>
            </w:tcMar>
          </w:tcPr>
          <w:p>
            <w:pPr>
              <w:keepLines/>
              <w:spacing w:after="0"/>
            </w:pPr>
            <w:r>
              <w:rPr>
                <w:b/>
                <w:color w:val="FFFFFF"/>
                <w:sz w:val="15"/>
              </w:rPr>
              <w:t>Current or future</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AI adoption effectiveness</w:t>
            </w:r>
          </w:p>
        </w:tc>
        <w:tc>
          <w:tcPr>
            <w:tcW w:type="dxa" w:w="2466"/>
            <w:tcMar>
              <w:top w:w="70" w:type="dxa"/>
              <w:start w:w="80" w:type="dxa"/>
              <w:bottom w:w="70" w:type="dxa"/>
              <w:end w:w="80" w:type="dxa"/>
            </w:tcMar>
            <w:vAlign w:val="top"/>
          </w:tcPr>
          <w:p>
            <w:pPr>
              <w:keepLines/>
              <w:spacing w:after="0" w:line="240" w:lineRule="auto"/>
            </w:pPr>
            <w:r>
              <w:rPr>
                <w:b w:val="0"/>
                <w:color w:val="172033"/>
                <w:sz w:val="15"/>
              </w:rPr>
              <w:t>Useful completion rate, save/reuse, workflow coverage, correction category, opt-out</w:t>
            </w:r>
          </w:p>
        </w:tc>
        <w:tc>
          <w:tcPr>
            <w:tcW w:type="dxa" w:w="2466"/>
            <w:tcMar>
              <w:top w:w="70" w:type="dxa"/>
              <w:start w:w="80" w:type="dxa"/>
              <w:bottom w:w="70" w:type="dxa"/>
              <w:end w:w="80" w:type="dxa"/>
            </w:tcMar>
            <w:vAlign w:val="top"/>
          </w:tcPr>
          <w:p>
            <w:pPr>
              <w:keepLines/>
              <w:spacing w:after="0" w:line="240" w:lineRule="auto"/>
            </w:pPr>
            <w:r>
              <w:rPr>
                <w:b w:val="0"/>
                <w:color w:val="172033"/>
                <w:sz w:val="15"/>
              </w:rPr>
              <w:t>Where adoption creates value; where enablement or workflow redesign is needed</w:t>
            </w:r>
          </w:p>
        </w:tc>
        <w:tc>
          <w:tcPr>
            <w:tcW w:type="dxa" w:w="2466"/>
            <w:tcMar>
              <w:top w:w="70" w:type="dxa"/>
              <w:start w:w="80" w:type="dxa"/>
              <w:bottom w:w="70" w:type="dxa"/>
              <w:end w:w="80" w:type="dxa"/>
            </w:tcMar>
            <w:vAlign w:val="top"/>
          </w:tcPr>
          <w:p>
            <w:pPr>
              <w:keepLines/>
              <w:spacing w:after="0" w:line="240" w:lineRule="auto"/>
            </w:pPr>
            <w:r>
              <w:rPr>
                <w:b w:val="0"/>
                <w:color w:val="172033"/>
                <w:sz w:val="15"/>
              </w:rPr>
              <w:t>Future aggregation over current local primitives</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Cost and capacity governance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Budget envelope, estimated and observed token bands, adherence, fail-closed class, latency band</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Budget bands, capacity planning, exception policy, provider strategy</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Future</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Delivery predictability and quality</w:t>
            </w:r>
          </w:p>
        </w:tc>
        <w:tc>
          <w:tcPr>
            <w:tcW w:type="dxa" w:w="2466"/>
            <w:tcMar>
              <w:top w:w="70" w:type="dxa"/>
              <w:start w:w="80" w:type="dxa"/>
              <w:bottom w:w="70" w:type="dxa"/>
              <w:end w:w="80" w:type="dxa"/>
            </w:tcMar>
            <w:vAlign w:val="top"/>
          </w:tcPr>
          <w:p>
            <w:pPr>
              <w:keepLines/>
              <w:spacing w:after="0" w:line="240" w:lineRule="auto"/>
            </w:pPr>
            <w:r>
              <w:rPr>
                <w:b w:val="0"/>
                <w:color w:val="172033"/>
                <w:sz w:val="15"/>
              </w:rPr>
              <w:t>Material-gap rate, rework category, fallback, acceptance, task-stage outcome</w:t>
            </w:r>
          </w:p>
        </w:tc>
        <w:tc>
          <w:tcPr>
            <w:tcW w:type="dxa" w:w="2466"/>
            <w:tcMar>
              <w:top w:w="70" w:type="dxa"/>
              <w:start w:w="80" w:type="dxa"/>
              <w:bottom w:w="70" w:type="dxa"/>
              <w:end w:w="80" w:type="dxa"/>
            </w:tcMar>
            <w:vAlign w:val="top"/>
          </w:tcPr>
          <w:p>
            <w:pPr>
              <w:keepLines/>
              <w:spacing w:after="0" w:line="240" w:lineRule="auto"/>
            </w:pPr>
            <w:r>
              <w:rPr>
                <w:b w:val="0"/>
                <w:color w:val="172033"/>
                <w:sz w:val="15"/>
              </w:rPr>
              <w:t>Which workflow stages need better context, templates, or controls</w:t>
            </w:r>
          </w:p>
        </w:tc>
        <w:tc>
          <w:tcPr>
            <w:tcW w:type="dxa" w:w="2466"/>
            <w:tcMar>
              <w:top w:w="70" w:type="dxa"/>
              <w:start w:w="80" w:type="dxa"/>
              <w:bottom w:w="70" w:type="dxa"/>
              <w:end w:w="80" w:type="dxa"/>
            </w:tcMar>
            <w:vAlign w:val="top"/>
          </w:tcPr>
          <w:p>
            <w:pPr>
              <w:keepLines/>
              <w:spacing w:after="0" w:line="240" w:lineRule="auto"/>
            </w:pPr>
            <w:r>
              <w:rPr>
                <w:b w:val="0"/>
                <w:color w:val="172033"/>
                <w:sz w:val="15"/>
              </w:rPr>
              <w:t>Future</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Knowledge and process standardization</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Approved context reuse, recurring gap category, stale-context events, provenance availability</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Which project knowledge or operating guidance should be improved</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Current local basis; future aggregate insight</w:t>
            </w:r>
          </w:p>
        </w:tc>
      </w:tr>
      <w:tr>
        <w:tc>
          <w:tcPr>
            <w:tcW w:type="dxa" w:w="2466"/>
            <w:tcMar>
              <w:top w:w="70" w:type="dxa"/>
              <w:start w:w="80" w:type="dxa"/>
              <w:bottom w:w="70" w:type="dxa"/>
              <w:end w:w="80" w:type="dxa"/>
            </w:tcMar>
            <w:vAlign w:val="top"/>
          </w:tcPr>
          <w:p>
            <w:pPr>
              <w:keepLines/>
              <w:spacing w:after="0" w:line="240" w:lineRule="auto"/>
            </w:pPr>
            <w:r>
              <w:rPr>
                <w:b w:val="0"/>
                <w:color w:val="172033"/>
                <w:sz w:val="15"/>
              </w:rPr>
              <w:t>Risk, compliance, and control</w:t>
            </w:r>
          </w:p>
        </w:tc>
        <w:tc>
          <w:tcPr>
            <w:tcW w:type="dxa" w:w="2466"/>
            <w:tcMar>
              <w:top w:w="70" w:type="dxa"/>
              <w:start w:w="80" w:type="dxa"/>
              <w:bottom w:w="70" w:type="dxa"/>
              <w:end w:w="80" w:type="dxa"/>
            </w:tcMar>
            <w:vAlign w:val="top"/>
          </w:tcPr>
          <w:p>
            <w:pPr>
              <w:keepLines/>
              <w:spacing w:after="0" w:line="240" w:lineRule="auto"/>
            </w:pPr>
            <w:r>
              <w:rPr>
                <w:b w:val="0"/>
                <w:color w:val="172033"/>
                <w:sz w:val="15"/>
              </w:rPr>
              <w:t>Consent state, policy version, redaction/fail-closed reason, explicit action record</w:t>
            </w:r>
          </w:p>
        </w:tc>
        <w:tc>
          <w:tcPr>
            <w:tcW w:type="dxa" w:w="2466"/>
            <w:tcMar>
              <w:top w:w="70" w:type="dxa"/>
              <w:start w:w="80" w:type="dxa"/>
              <w:bottom w:w="70" w:type="dxa"/>
              <w:end w:w="80" w:type="dxa"/>
            </w:tcMar>
            <w:vAlign w:val="top"/>
          </w:tcPr>
          <w:p>
            <w:pPr>
              <w:keepLines/>
              <w:spacing w:after="0" w:line="240" w:lineRule="auto"/>
            </w:pPr>
            <w:r>
              <w:rPr>
                <w:b w:val="0"/>
                <w:color w:val="172033"/>
                <w:sz w:val="15"/>
              </w:rPr>
              <w:t>Whether controls work as designed; where policy or training is needed</w:t>
            </w:r>
          </w:p>
        </w:tc>
        <w:tc>
          <w:tcPr>
            <w:tcW w:type="dxa" w:w="2466"/>
            <w:tcMar>
              <w:top w:w="70" w:type="dxa"/>
              <w:start w:w="80" w:type="dxa"/>
              <w:bottom w:w="70" w:type="dxa"/>
              <w:end w:w="80" w:type="dxa"/>
            </w:tcMar>
            <w:vAlign w:val="top"/>
          </w:tcPr>
          <w:p>
            <w:pPr>
              <w:keepLines/>
              <w:spacing w:after="0" w:line="240" w:lineRule="auto"/>
            </w:pPr>
            <w:r>
              <w:rPr>
                <w:b w:val="0"/>
                <w:color w:val="172033"/>
                <w:sz w:val="15"/>
              </w:rPr>
              <w:t>Current control basis; future aggregate insight</w:t>
            </w:r>
          </w:p>
        </w:tc>
      </w:tr>
      <w:tr>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Workforce enablement and developer experience</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Usefulness, time band, correction burden, reset/abandon outcome, qualitative local review</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Coaching, documentation, tool design, and support priorities</w:t>
            </w:r>
          </w:p>
        </w:tc>
        <w:tc>
          <w:tcPr>
            <w:tcW w:type="dxa" w:w="2466"/>
            <w:shd w:fill="F6F8FA"/>
            <w:tcMar>
              <w:top w:w="70" w:type="dxa"/>
              <w:start w:w="80" w:type="dxa"/>
              <w:bottom w:w="70" w:type="dxa"/>
              <w:end w:w="80" w:type="dxa"/>
            </w:tcMar>
            <w:vAlign w:val="top"/>
          </w:tcPr>
          <w:p>
            <w:pPr>
              <w:keepLines/>
              <w:spacing w:after="0" w:line="240" w:lineRule="auto"/>
            </w:pPr>
            <w:r>
              <w:rPr>
                <w:b w:val="0"/>
                <w:color w:val="172033"/>
                <w:sz w:val="15"/>
              </w:rPr>
              <w:t>Current local feedback; future privacy-safe aggregation</w:t>
            </w:r>
          </w:p>
        </w:tc>
      </w:tr>
    </w:tbl>
    <w:p>
      <w:pPr>
        <w:spacing w:after="0"/>
      </w:pPr>
    </w:p>
    <w:p>
      <w:pPr>
        <w:pStyle w:val="Heading2"/>
        <w:keepNext/>
      </w:pPr>
      <w:r>
        <w:rPr>
          <w:b w:val="0"/>
        </w:rPr>
        <w:t>9.1 Value by organizational level</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Level</w:t>
            </w:r>
          </w:p>
        </w:tc>
        <w:tc>
          <w:tcPr>
            <w:tcW w:type="dxa" w:w="3289"/>
            <w:shd w:fill="17365D"/>
            <w:tcMar>
              <w:top w:w="70" w:type="dxa"/>
              <w:start w:w="80" w:type="dxa"/>
              <w:bottom w:w="70" w:type="dxa"/>
              <w:end w:w="80" w:type="dxa"/>
            </w:tcMar>
          </w:tcPr>
          <w:p>
            <w:pPr>
              <w:keepLines/>
              <w:spacing w:after="0"/>
            </w:pPr>
            <w:r>
              <w:rPr>
                <w:b/>
                <w:color w:val="FFFFFF"/>
                <w:sz w:val="15"/>
              </w:rPr>
              <w:t>Objective</w:t>
            </w:r>
          </w:p>
        </w:tc>
        <w:tc>
          <w:tcPr>
            <w:tcW w:type="dxa" w:w="3289"/>
            <w:shd w:fill="17365D"/>
            <w:tcMar>
              <w:top w:w="70" w:type="dxa"/>
              <w:start w:w="80" w:type="dxa"/>
              <w:bottom w:w="70" w:type="dxa"/>
              <w:end w:w="80" w:type="dxa"/>
            </w:tcMar>
          </w:tcPr>
          <w:p>
            <w:pPr>
              <w:keepLines/>
              <w:spacing w:after="0"/>
            </w:pPr>
            <w:r>
              <w:rPr>
                <w:b/>
                <w:color w:val="FFFFFF"/>
                <w:sz w:val="15"/>
              </w:rPr>
              <w:t>Useful decision</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Developer</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Reduce context rebuilding and fatigue; improve clarity and control</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Which context, modules, or workflow help this task</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Team</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Find recurring knowledge gaps, improve handoffs, reduce preventable rework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Which shared project knowledge and team practices to strengthen</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SDLC operations</w:t>
            </w:r>
          </w:p>
        </w:tc>
        <w:tc>
          <w:tcPr>
            <w:tcW w:type="dxa" w:w="3289"/>
            <w:tcMar>
              <w:top w:w="70" w:type="dxa"/>
              <w:start w:w="80" w:type="dxa"/>
              <w:bottom w:w="70" w:type="dxa"/>
              <w:end w:w="80" w:type="dxa"/>
            </w:tcMar>
            <w:vAlign w:val="top"/>
          </w:tcPr>
          <w:p>
            <w:pPr>
              <w:keepLines/>
              <w:spacing w:after="0" w:line="240" w:lineRule="auto"/>
            </w:pPr>
            <w:r>
              <w:rPr>
                <w:b w:val="0"/>
                <w:color w:val="172033"/>
                <w:sz w:val="15"/>
              </w:rPr>
              <w:t>Identify stage friction and govern latency, fallback, and budget adherence</w:t>
            </w:r>
          </w:p>
        </w:tc>
        <w:tc>
          <w:tcPr>
            <w:tcW w:type="dxa" w:w="3289"/>
            <w:tcMar>
              <w:top w:w="70" w:type="dxa"/>
              <w:start w:w="80" w:type="dxa"/>
              <w:bottom w:w="70" w:type="dxa"/>
              <w:end w:w="80" w:type="dxa"/>
            </w:tcMar>
            <w:vAlign w:val="top"/>
          </w:tcPr>
          <w:p>
            <w:pPr>
              <w:keepLines/>
              <w:spacing w:after="0" w:line="240" w:lineRule="auto"/>
            </w:pPr>
            <w:r>
              <w:rPr>
                <w:b w:val="0"/>
                <w:color w:val="172033"/>
                <w:sz w:val="15"/>
              </w:rPr>
              <w:t>Which process or platform intervention to prioritize</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Management and AI CoE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Measure useful adoption, plan capacity, direct enablement and govern scale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Where to invest, pilot, constrain, or stop</w:t>
            </w:r>
          </w:p>
        </w:tc>
      </w:tr>
    </w:tbl>
    <w:p>
      <w:pPr>
        <w:spacing w:after="0"/>
      </w:pPr>
    </w:p>
    <w:p>
      <w:pPr>
        <w:pStyle w:val="Heading2"/>
        <w:keepNext/>
      </w:pPr>
      <w:r>
        <w:rPr>
          <w:b w:val="0"/>
        </w:rPr>
        <w:t>9.2 Pilot measures that answer management questions</w:t>
      </w:r>
    </w:p>
    <w:p>
      <w:r>
        <w:rPr>
          <w:b w:val="0"/>
        </w:rPr>
        <w:t>Recommended pilot measures should be outcome-oriented and preregistered:</w:t>
      </w:r>
    </w:p>
    <w:p>
      <w:pPr>
        <w:pStyle w:val="ListBullet"/>
      </w:pPr>
      <w:r>
        <w:rPr>
          <w:b w:val="0"/>
        </w:rPr>
        <w:t>approved-context reuse rate;</w:t>
      </w:r>
    </w:p>
    <w:p>
      <w:pPr>
        <w:pStyle w:val="ListBullet"/>
      </w:pPr>
      <w:r>
        <w:rPr>
          <w:b w:val="0"/>
        </w:rPr>
        <w:t>time to a developer-usable first draft;</w:t>
      </w:r>
    </w:p>
    <w:p>
      <w:pPr>
        <w:pStyle w:val="ListBullet"/>
      </w:pPr>
      <w:r>
        <w:rPr>
          <w:b w:val="0"/>
        </w:rPr>
        <w:t>material-gap detection and resolved-gap rate;</w:t>
      </w:r>
    </w:p>
    <w:p>
      <w:pPr>
        <w:pStyle w:val="ListBullet"/>
      </w:pPr>
      <w:r>
        <w:rPr>
          <w:b w:val="0"/>
        </w:rPr>
        <w:t>acceptance, correction, abandonment, and scoped-reset rate;</w:t>
      </w:r>
    </w:p>
    <w:p>
      <w:pPr>
        <w:pStyle w:val="ListBullet"/>
      </w:pPr>
      <w:r>
        <w:rPr>
          <w:b w:val="0"/>
        </w:rPr>
        <w:t>preventable rework category;</w:t>
      </w:r>
    </w:p>
    <w:p>
      <w:pPr>
        <w:pStyle w:val="ListBullet"/>
      </w:pPr>
      <w:r>
        <w:rPr>
          <w:b w:val="0"/>
        </w:rPr>
        <w:t>deterministic fallback and failure rate;</w:t>
      </w:r>
    </w:p>
    <w:p>
      <w:pPr>
        <w:pStyle w:val="ListBullet"/>
      </w:pPr>
      <w:r>
        <w:rPr>
          <w:b w:val="0"/>
        </w:rPr>
        <w:t>estimated-versus-observed token variance;</w:t>
      </w:r>
    </w:p>
    <w:p>
      <w:pPr>
        <w:pStyle w:val="ListBullet"/>
      </w:pPr>
      <w:r>
        <w:rPr>
          <w:b w:val="0"/>
        </w:rPr>
        <w:t>budget-adherence rate;</w:t>
      </w:r>
    </w:p>
    <w:p>
      <w:pPr>
        <w:pStyle w:val="ListBullet"/>
      </w:pPr>
      <w:r>
        <w:rPr>
          <w:b w:val="0"/>
        </w:rPr>
        <w:t>usefulness by workflow and cohort;</w:t>
      </w:r>
    </w:p>
    <w:p>
      <w:pPr>
        <w:pStyle w:val="ListBullet"/>
      </w:pPr>
      <w:r>
        <w:rPr>
          <w:b w:val="0"/>
        </w:rPr>
        <w:t>opt-out, deletion, and telemetry-completeness rate.</w:t>
      </w:r>
    </w:p>
    <w:p>
      <w:r>
        <w:rPr>
          <w:b w:val="0"/>
        </w:rPr>
        <w:t>Raw interaction counts and prompt volume are not sufficient adoption measures. Higher activity can indicate friction, retries, or poor outcomes. Management should pair adoption with usefulness, quality, control, and resource evidence.</w:t>
      </w:r>
    </w:p>
    <w:p>
      <w:r>
        <w:br w:type="page"/>
      </w:r>
    </w:p>
    <w:p>
      <w:pPr>
        <w:pStyle w:val="Heading1"/>
        <w:keepNext/>
      </w:pPr>
      <w:r>
        <w:rPr>
          <w:b w:val="0"/>
        </w:rPr>
        <w:t>10. Governance and privacy design</w:t>
      </w:r>
    </w:p>
    <w:p>
      <w:pPr>
        <w:pStyle w:val="Heading2"/>
        <w:keepNext/>
      </w:pPr>
      <w:r>
        <w:rPr>
          <w:b w:val="0"/>
        </w:rPr>
        <w:t>10.1 Non-negotiable controls</w:t>
      </w:r>
    </w:p>
    <w:p>
      <w:pPr>
        <w:pStyle w:val="ListBullet"/>
      </w:pPr>
      <w:r>
        <w:rPr>
          <w:b w:val="0"/>
        </w:rPr>
        <w:t>DWI remains usable without a PMS or management service.</w:t>
      </w:r>
    </w:p>
    <w:p>
      <w:pPr>
        <w:pStyle w:val="ListBullet"/>
      </w:pPr>
      <w:r>
        <w:rPr>
          <w:b w:val="0"/>
        </w:rPr>
        <w:t>Project initialization, bounded inspection, review, and consent remain prerequisites.</w:t>
      </w:r>
    </w:p>
    <w:p>
      <w:pPr>
        <w:pStyle w:val="ListBullet"/>
      </w:pPr>
      <w:r>
        <w:rPr>
          <w:b w:val="0"/>
        </w:rPr>
        <w:t>Local navigation stays provider-free.</w:t>
      </w:r>
    </w:p>
    <w:p>
      <w:pPr>
        <w:pStyle w:val="ListBullet"/>
      </w:pPr>
      <w:r>
        <w:rPr>
          <w:b w:val="0"/>
        </w:rPr>
        <w:t>The budget envelope cannot authorize spending or provider transmission.</w:t>
      </w:r>
    </w:p>
    <w:p>
      <w:pPr>
        <w:pStyle w:val="ListBullet"/>
      </w:pPr>
      <w:r>
        <w:rPr>
          <w:b w:val="0"/>
        </w:rPr>
        <w:t>Hard safety and privacy ceilings outrank sprint priority and task criticality.</w:t>
      </w:r>
    </w:p>
    <w:p>
      <w:pPr>
        <w:pStyle w:val="ListBullet"/>
      </w:pPr>
      <w:r>
        <w:rPr>
          <w:b w:val="0"/>
        </w:rPr>
        <w:t>The deterministic candidate remains recoverable.</w:t>
      </w:r>
    </w:p>
    <w:p>
      <w:pPr>
        <w:pStyle w:val="ListBullet"/>
      </w:pPr>
      <w:r>
        <w:rPr>
          <w:b w:val="0"/>
        </w:rPr>
        <w:t>Provider results remain current, bounded, validated, and human-reviewed.</w:t>
      </w:r>
    </w:p>
    <w:p>
      <w:pPr>
        <w:pStyle w:val="ListBullet"/>
      </w:pPr>
      <w:r>
        <w:rPr>
          <w:b w:val="0"/>
        </w:rPr>
        <w:t>Raw prompt and project content do not enter reusable identifiers, logs, or management metrics.</w:t>
      </w:r>
    </w:p>
    <w:p>
      <w:pPr>
        <w:pStyle w:val="ListBullet"/>
      </w:pPr>
      <w:r>
        <w:rPr>
          <w:b w:val="0"/>
        </w:rPr>
        <w:t>Feedback is transparent, purpose-limited, deletable, and aggregated above a minimum cohort.</w:t>
      </w:r>
    </w:p>
    <w:p>
      <w:pPr>
        <w:pStyle w:val="ListBullet"/>
      </w:pPr>
      <w:r>
        <w:rPr>
          <w:b w:val="0"/>
        </w:rPr>
        <w:t>Individual ranking, performance scoring, and disciplinary use are prohibited.</w:t>
      </w:r>
    </w:p>
    <w:p>
      <w:pPr>
        <w:pStyle w:val="ListBullet"/>
      </w:pPr>
      <w:r>
        <w:rPr>
          <w:b w:val="0"/>
        </w:rPr>
        <w:t>Policy changes require versioning, review, rollback, and evidence.</w:t>
      </w:r>
    </w:p>
    <w:p>
      <w:pPr>
        <w:pStyle w:val="Heading2"/>
        <w:keepNext/>
      </w:pPr>
      <w:r>
        <w:rPr>
          <w:b w:val="0"/>
        </w:rPr>
        <w:t>10.2 Data classification</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Data class</w:t>
            </w:r>
          </w:p>
        </w:tc>
        <w:tc>
          <w:tcPr>
            <w:tcW w:type="dxa" w:w="3289"/>
            <w:shd w:fill="17365D"/>
            <w:tcMar>
              <w:top w:w="70" w:type="dxa"/>
              <w:start w:w="80" w:type="dxa"/>
              <w:bottom w:w="70" w:type="dxa"/>
              <w:end w:w="80" w:type="dxa"/>
            </w:tcMar>
          </w:tcPr>
          <w:p>
            <w:pPr>
              <w:keepLines/>
              <w:spacing w:after="0"/>
            </w:pPr>
            <w:r>
              <w:rPr>
                <w:b/>
                <w:color w:val="FFFFFF"/>
                <w:sz w:val="15"/>
              </w:rPr>
              <w:t>Example</w:t>
            </w:r>
          </w:p>
        </w:tc>
        <w:tc>
          <w:tcPr>
            <w:tcW w:type="dxa" w:w="3289"/>
            <w:shd w:fill="17365D"/>
            <w:tcMar>
              <w:top w:w="70" w:type="dxa"/>
              <w:start w:w="80" w:type="dxa"/>
              <w:bottom w:w="70" w:type="dxa"/>
              <w:end w:w="80" w:type="dxa"/>
            </w:tcMar>
          </w:tcPr>
          <w:p>
            <w:pPr>
              <w:keepLines/>
              <w:spacing w:after="0"/>
            </w:pPr>
            <w:r>
              <w:rPr>
                <w:b/>
                <w:color w:val="FFFFFF"/>
                <w:sz w:val="15"/>
              </w:rPr>
              <w:t>Default handling</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Approved project knowledge</w:t>
            </w:r>
          </w:p>
        </w:tc>
        <w:tc>
          <w:tcPr>
            <w:tcW w:type="dxa" w:w="3289"/>
            <w:tcMar>
              <w:top w:w="70" w:type="dxa"/>
              <w:start w:w="80" w:type="dxa"/>
              <w:bottom w:w="70" w:type="dxa"/>
              <w:end w:w="80" w:type="dxa"/>
            </w:tcMar>
            <w:vAlign w:val="top"/>
          </w:tcPr>
          <w:p>
            <w:pPr>
              <w:keepLines/>
              <w:spacing w:after="0" w:line="240" w:lineRule="auto"/>
            </w:pPr>
            <w:r>
              <w:rPr>
                <w:b w:val="0"/>
                <w:color w:val="172033"/>
                <w:sz w:val="15"/>
              </w:rPr>
              <w:t>Reviewed project brief</w:t>
            </w:r>
          </w:p>
        </w:tc>
        <w:tc>
          <w:tcPr>
            <w:tcW w:type="dxa" w:w="3289"/>
            <w:tcMar>
              <w:top w:w="70" w:type="dxa"/>
              <w:start w:w="80" w:type="dxa"/>
              <w:bottom w:w="70" w:type="dxa"/>
              <w:end w:w="80" w:type="dxa"/>
            </w:tcMar>
            <w:vAlign w:val="top"/>
          </w:tcPr>
          <w:p>
            <w:pPr>
              <w:keepLines/>
              <w:spacing w:after="0" w:line="240" w:lineRule="auto"/>
            </w:pPr>
            <w:r>
              <w:rPr>
                <w:b w:val="0"/>
                <w:color w:val="172033"/>
                <w:sz w:val="15"/>
              </w:rPr>
              <w:t>Local project authority; no management export</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Task content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Prompt, sources, generated result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Local/session content; excluded from reusable telemetry</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Local qualitative feedback</w:t>
            </w:r>
          </w:p>
        </w:tc>
        <w:tc>
          <w:tcPr>
            <w:tcW w:type="dxa" w:w="3289"/>
            <w:tcMar>
              <w:top w:w="70" w:type="dxa"/>
              <w:start w:w="80" w:type="dxa"/>
              <w:bottom w:w="70" w:type="dxa"/>
              <w:end w:w="80" w:type="dxa"/>
            </w:tcMar>
            <w:vAlign w:val="top"/>
          </w:tcPr>
          <w:p>
            <w:pPr>
              <w:keepLines/>
              <w:spacing w:after="0" w:line="240" w:lineRule="auto"/>
            </w:pPr>
            <w:r>
              <w:rPr>
                <w:b w:val="0"/>
                <w:color w:val="172033"/>
                <w:sz w:val="15"/>
              </w:rPr>
              <w:t>Optional free-text note</w:t>
            </w:r>
          </w:p>
        </w:tc>
        <w:tc>
          <w:tcPr>
            <w:tcW w:type="dxa" w:w="3289"/>
            <w:tcMar>
              <w:top w:w="70" w:type="dxa"/>
              <w:start w:w="80" w:type="dxa"/>
              <w:bottom w:w="70" w:type="dxa"/>
              <w:end w:w="80" w:type="dxa"/>
            </w:tcMar>
            <w:vAlign w:val="top"/>
          </w:tcPr>
          <w:p>
            <w:pPr>
              <w:keepLines/>
              <w:spacing w:after="0" w:line="240" w:lineRule="auto"/>
            </w:pPr>
            <w:r>
              <w:rPr>
                <w:b w:val="0"/>
                <w:color w:val="172033"/>
                <w:sz w:val="15"/>
              </w:rPr>
              <w:t>Local only unless separately and explicitly shared</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Content-free event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Rating, outcome class, latency band, budget adherence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Eligible only under disclosed feedback contract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PMS metadata</w:t>
            </w:r>
          </w:p>
        </w:tc>
        <w:tc>
          <w:tcPr>
            <w:tcW w:type="dxa" w:w="3289"/>
            <w:tcMar>
              <w:top w:w="70" w:type="dxa"/>
              <w:start w:w="80" w:type="dxa"/>
              <w:bottom w:w="70" w:type="dxa"/>
              <w:end w:w="80" w:type="dxa"/>
            </w:tcMar>
            <w:vAlign w:val="top"/>
          </w:tcPr>
          <w:p>
            <w:pPr>
              <w:keepLines/>
              <w:spacing w:after="0" w:line="240" w:lineRule="auto"/>
            </w:pPr>
            <w:r>
              <w:rPr>
                <w:b w:val="0"/>
                <w:color w:val="172033"/>
                <w:sz w:val="15"/>
              </w:rPr>
              <w:t>Task ID, priority, criticality, stage</w:t>
            </w:r>
          </w:p>
        </w:tc>
        <w:tc>
          <w:tcPr>
            <w:tcW w:type="dxa" w:w="3289"/>
            <w:tcMar>
              <w:top w:w="70" w:type="dxa"/>
              <w:start w:w="80" w:type="dxa"/>
              <w:bottom w:w="70" w:type="dxa"/>
              <w:end w:w="80" w:type="dxa"/>
            </w:tcMar>
            <w:vAlign w:val="top"/>
          </w:tcPr>
          <w:p>
            <w:pPr>
              <w:keepLines/>
              <w:spacing w:after="0" w:line="240" w:lineRule="auto"/>
            </w:pPr>
            <w:r>
              <w:rPr>
                <w:b w:val="0"/>
                <w:color w:val="172033"/>
                <w:sz w:val="15"/>
              </w:rPr>
              <w:t>Minimal adapter input; bounded retention and access</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Policy artifact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Version, caps, reason codes</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Auditable, versioned, explainable, rollback-ready</w:t>
            </w:r>
          </w:p>
        </w:tc>
      </w:tr>
    </w:tbl>
    <w:p>
      <w:pPr>
        <w:spacing w:after="0"/>
      </w:pPr>
    </w:p>
    <w:p>
      <w:pPr>
        <w:pStyle w:val="Heading2"/>
        <w:keepNext/>
      </w:pPr>
      <w:r>
        <w:rPr>
          <w:b w:val="0"/>
        </w:rPr>
        <w:t>10.3 Anti-surveillance rules</w:t>
      </w:r>
    </w:p>
    <w:p>
      <w:pPr>
        <w:pStyle w:val="ListNumber"/>
      </w:pPr>
      <w:r>
        <w:rPr>
          <w:b w:val="0"/>
        </w:rPr>
        <w:t>Report on workflows and cohorts, not named individuals.</w:t>
      </w:r>
    </w:p>
    <w:p>
      <w:pPr>
        <w:pStyle w:val="ListNumber"/>
      </w:pPr>
      <w:r>
        <w:rPr>
          <w:b w:val="0"/>
        </w:rPr>
        <w:t>Enforce minimum cohort thresholds and suppress sparse slices.</w:t>
      </w:r>
    </w:p>
    <w:p>
      <w:pPr>
        <w:pStyle w:val="ListNumber"/>
      </w:pPr>
      <w:r>
        <w:rPr>
          <w:b w:val="0"/>
        </w:rPr>
        <w:t>Exclude raw text, file paths, repository identity, and free-text notes.</w:t>
      </w:r>
    </w:p>
    <w:p>
      <w:pPr>
        <w:pStyle w:val="ListNumber"/>
      </w:pPr>
      <w:r>
        <w:rPr>
          <w:b w:val="0"/>
        </w:rPr>
        <w:t>Separate product-improvement analysis from employment decisions.</w:t>
      </w:r>
    </w:p>
    <w:p>
      <w:pPr>
        <w:pStyle w:val="ListNumber"/>
      </w:pPr>
      <w:r>
        <w:rPr>
          <w:b w:val="0"/>
        </w:rPr>
        <w:t>Publish signal definitions, known limitations, and opt-out behavior.</w:t>
      </w:r>
    </w:p>
    <w:p>
      <w:pPr>
        <w:pStyle w:val="ListNumber"/>
      </w:pPr>
      <w:r>
        <w:rPr>
          <w:b w:val="0"/>
        </w:rPr>
        <w:t>Permit deletion and retention expiry.</w:t>
      </w:r>
    </w:p>
    <w:p>
      <w:pPr>
        <w:pStyle w:val="ListNumber"/>
      </w:pPr>
      <w:r>
        <w:rPr>
          <w:b w:val="0"/>
        </w:rPr>
        <w:t>Audit access and prohibit silent secondary use.</w:t>
      </w:r>
    </w:p>
    <w:p>
      <w:r>
        <w:rPr>
          <w:b w:val="0"/>
        </w:rPr>
        <w:t>The purpose of the feedback loop is to improve AI adoption, product behavior, project knowledge, and SDLC operations. It is not a proxy for developer productivity.</w:t>
      </w:r>
    </w:p>
    <w:p>
      <w:r>
        <w:br w:type="page"/>
      </w:r>
    </w:p>
    <w:p>
      <w:pPr>
        <w:pStyle w:val="Heading1"/>
        <w:keepNext/>
      </w:pPr>
      <w:r>
        <w:rPr>
          <w:b w:val="0"/>
        </w:rPr>
        <w:t>11. Risk and open-item register</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trPr>
        <w:tc>
          <w:tcPr>
            <w:tcW w:type="dxa" w:w="1973"/>
            <w:shd w:fill="17365D"/>
            <w:tcMar>
              <w:top w:w="70" w:type="dxa"/>
              <w:start w:w="80" w:type="dxa"/>
              <w:bottom w:w="70" w:type="dxa"/>
              <w:end w:w="80" w:type="dxa"/>
            </w:tcMar>
          </w:tcPr>
          <w:p>
            <w:pPr>
              <w:keepLines/>
              <w:spacing w:after="0"/>
            </w:pPr>
            <w:r>
              <w:rPr>
                <w:b/>
                <w:color w:val="FFFFFF"/>
                <w:sz w:val="15"/>
              </w:rPr>
              <w:t>ID</w:t>
            </w:r>
          </w:p>
        </w:tc>
        <w:tc>
          <w:tcPr>
            <w:tcW w:type="dxa" w:w="1973"/>
            <w:shd w:fill="17365D"/>
            <w:tcMar>
              <w:top w:w="70" w:type="dxa"/>
              <w:start w:w="80" w:type="dxa"/>
              <w:bottom w:w="70" w:type="dxa"/>
              <w:end w:w="80" w:type="dxa"/>
            </w:tcMar>
          </w:tcPr>
          <w:p>
            <w:pPr>
              <w:keepLines/>
              <w:spacing w:after="0"/>
            </w:pPr>
            <w:r>
              <w:rPr>
                <w:b/>
                <w:color w:val="FFFFFF"/>
                <w:sz w:val="15"/>
              </w:rPr>
              <w:t>Risk or open item</w:t>
            </w:r>
          </w:p>
        </w:tc>
        <w:tc>
          <w:tcPr>
            <w:tcW w:type="dxa" w:w="1973"/>
            <w:shd w:fill="17365D"/>
            <w:tcMar>
              <w:top w:w="70" w:type="dxa"/>
              <w:start w:w="80" w:type="dxa"/>
              <w:bottom w:w="70" w:type="dxa"/>
              <w:end w:w="80" w:type="dxa"/>
            </w:tcMar>
          </w:tcPr>
          <w:p>
            <w:pPr>
              <w:keepLines/>
              <w:spacing w:after="0"/>
            </w:pPr>
            <w:r>
              <w:rPr>
                <w:b/>
                <w:color w:val="FFFFFF"/>
                <w:sz w:val="15"/>
              </w:rPr>
              <w:t>Status</w:t>
            </w:r>
          </w:p>
        </w:tc>
        <w:tc>
          <w:tcPr>
            <w:tcW w:type="dxa" w:w="1973"/>
            <w:shd w:fill="17365D"/>
            <w:tcMar>
              <w:top w:w="70" w:type="dxa"/>
              <w:start w:w="80" w:type="dxa"/>
              <w:bottom w:w="70" w:type="dxa"/>
              <w:end w:w="80" w:type="dxa"/>
            </w:tcMar>
          </w:tcPr>
          <w:p>
            <w:pPr>
              <w:keepLines/>
              <w:spacing w:after="0"/>
            </w:pPr>
            <w:r>
              <w:rPr>
                <w:b/>
                <w:color w:val="FFFFFF"/>
                <w:sz w:val="15"/>
              </w:rPr>
              <w:t>Impact</w:t>
            </w:r>
          </w:p>
        </w:tc>
        <w:tc>
          <w:tcPr>
            <w:tcW w:type="dxa" w:w="1973"/>
            <w:shd w:fill="17365D"/>
            <w:tcMar>
              <w:top w:w="70" w:type="dxa"/>
              <w:start w:w="80" w:type="dxa"/>
              <w:bottom w:w="70" w:type="dxa"/>
              <w:end w:w="80" w:type="dxa"/>
            </w:tcMar>
          </w:tcPr>
          <w:p>
            <w:pPr>
              <w:keepLines/>
              <w:spacing w:after="0"/>
            </w:pPr>
            <w:r>
              <w:rPr>
                <w:b/>
                <w:color w:val="FFFFFF"/>
                <w:sz w:val="15"/>
              </w:rPr>
              <w:t>Required closure evidence</w:t>
            </w:r>
          </w:p>
        </w:tc>
      </w:tr>
      <w:tr>
        <w:tc>
          <w:tcPr>
            <w:tcW w:type="dxa" w:w="1973"/>
            <w:tcMar>
              <w:top w:w="70" w:type="dxa"/>
              <w:start w:w="80" w:type="dxa"/>
              <w:bottom w:w="70" w:type="dxa"/>
              <w:end w:w="80" w:type="dxa"/>
            </w:tcMar>
            <w:vAlign w:val="top"/>
          </w:tcPr>
          <w:p>
            <w:pPr>
              <w:keepLines/>
              <w:spacing w:after="0" w:line="240" w:lineRule="auto"/>
            </w:pPr>
            <w:r>
              <w:rPr>
                <w:b w:val="0"/>
                <w:color w:val="172033"/>
                <w:sz w:val="15"/>
              </w:rPr>
              <w:t>R1</w:t>
            </w:r>
          </w:p>
        </w:tc>
        <w:tc>
          <w:tcPr>
            <w:tcW w:type="dxa" w:w="1973"/>
            <w:tcMar>
              <w:top w:w="70" w:type="dxa"/>
              <w:start w:w="80" w:type="dxa"/>
              <w:bottom w:w="70" w:type="dxa"/>
              <w:end w:w="80" w:type="dxa"/>
            </w:tcMar>
            <w:vAlign w:val="top"/>
          </w:tcPr>
          <w:p>
            <w:pPr>
              <w:keepLines/>
              <w:spacing w:after="0" w:line="240" w:lineRule="auto"/>
            </w:pPr>
            <w:r>
              <w:rPr>
                <w:b w:val="0"/>
                <w:color w:val="172033"/>
                <w:sz w:val="15"/>
              </w:rPr>
              <w:t>Focused clarification lacks installed answer/application flow</w:t>
            </w:r>
          </w:p>
        </w:tc>
        <w:tc>
          <w:tcPr>
            <w:tcW w:type="dxa" w:w="1973"/>
            <w:tcMar>
              <w:top w:w="70" w:type="dxa"/>
              <w:start w:w="80" w:type="dxa"/>
              <w:bottom w:w="70" w:type="dxa"/>
              <w:end w:w="80" w:type="dxa"/>
            </w:tcMar>
            <w:vAlign w:val="top"/>
          </w:tcPr>
          <w:p>
            <w:pPr>
              <w:keepLines/>
              <w:spacing w:after="0" w:line="240" w:lineRule="auto"/>
            </w:pPr>
            <w:r>
              <w:rPr>
                <w:b w:val="0"/>
                <w:color w:val="172033"/>
                <w:sz w:val="15"/>
              </w:rPr>
              <w:t>Partial</w:t>
            </w:r>
          </w:p>
        </w:tc>
        <w:tc>
          <w:tcPr>
            <w:tcW w:type="dxa" w:w="1973"/>
            <w:tcMar>
              <w:top w:w="70" w:type="dxa"/>
              <w:start w:w="80" w:type="dxa"/>
              <w:bottom w:w="70" w:type="dxa"/>
              <w:end w:w="80" w:type="dxa"/>
            </w:tcMar>
            <w:vAlign w:val="top"/>
          </w:tcPr>
          <w:p>
            <w:pPr>
              <w:keepLines/>
              <w:spacing w:after="0" w:line="240" w:lineRule="auto"/>
            </w:pPr>
            <w:r>
              <w:rPr>
                <w:b w:val="0"/>
                <w:color w:val="172033"/>
                <w:sz w:val="15"/>
              </w:rPr>
              <w:t>Ask-before-guessing promise remains incomplete</w:t>
            </w:r>
          </w:p>
        </w:tc>
        <w:tc>
          <w:tcPr>
            <w:tcW w:type="dxa" w:w="1973"/>
            <w:tcMar>
              <w:top w:w="70" w:type="dxa"/>
              <w:start w:w="80" w:type="dxa"/>
              <w:bottom w:w="70" w:type="dxa"/>
              <w:end w:w="80" w:type="dxa"/>
            </w:tcMar>
            <w:vAlign w:val="top"/>
          </w:tcPr>
          <w:p>
            <w:pPr>
              <w:keepLines/>
              <w:spacing w:after="0" w:line="240" w:lineRule="auto"/>
            </w:pPr>
            <w:r>
              <w:rPr>
                <w:b w:val="0"/>
                <w:color w:val="172033"/>
                <w:sz w:val="15"/>
              </w:rPr>
              <w:t>Version-bound answer/skip flow, invalidation, accessibility, recovery, installed proof</w:t>
            </w:r>
          </w:p>
        </w:tc>
      </w:tr>
      <w:tr>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R2</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Latest exact tree lacks a fresh cross-process continuity result</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Open evidence seam</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Current layout cannot inherit the prior installed restart proof automatically</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Repair automation seam or use a controlled alternative; repeat exact-tree journey</w:t>
            </w:r>
          </w:p>
        </w:tc>
      </w:tr>
      <w:tr>
        <w:tc>
          <w:tcPr>
            <w:tcW w:type="dxa" w:w="1973"/>
            <w:tcMar>
              <w:top w:w="70" w:type="dxa"/>
              <w:start w:w="80" w:type="dxa"/>
              <w:bottom w:w="70" w:type="dxa"/>
              <w:end w:w="80" w:type="dxa"/>
            </w:tcMar>
            <w:vAlign w:val="top"/>
          </w:tcPr>
          <w:p>
            <w:pPr>
              <w:keepLines/>
              <w:spacing w:after="0" w:line="240" w:lineRule="auto"/>
            </w:pPr>
            <w:r>
              <w:rPr>
                <w:b w:val="0"/>
                <w:color w:val="172033"/>
                <w:sz w:val="15"/>
              </w:rPr>
              <w:t>R3</w:t>
            </w:r>
          </w:p>
        </w:tc>
        <w:tc>
          <w:tcPr>
            <w:tcW w:type="dxa" w:w="1973"/>
            <w:tcMar>
              <w:top w:w="70" w:type="dxa"/>
              <w:start w:w="80" w:type="dxa"/>
              <w:bottom w:w="70" w:type="dxa"/>
              <w:end w:w="80" w:type="dxa"/>
            </w:tcMar>
            <w:vAlign w:val="top"/>
          </w:tcPr>
          <w:p>
            <w:pPr>
              <w:keepLines/>
              <w:spacing w:after="0" w:line="240" w:lineRule="auto"/>
            </w:pPr>
            <w:r>
              <w:rPr>
                <w:b w:val="0"/>
                <w:color w:val="172033"/>
                <w:sz w:val="15"/>
              </w:rPr>
              <w:t>Real-provider semantic quality is unknown</w:t>
            </w:r>
          </w:p>
        </w:tc>
        <w:tc>
          <w:tcPr>
            <w:tcW w:type="dxa" w:w="1973"/>
            <w:tcMar>
              <w:top w:w="70" w:type="dxa"/>
              <w:start w:w="80" w:type="dxa"/>
              <w:bottom w:w="70" w:type="dxa"/>
              <w:end w:w="80" w:type="dxa"/>
            </w:tcMar>
            <w:vAlign w:val="top"/>
          </w:tcPr>
          <w:p>
            <w:pPr>
              <w:keepLines/>
              <w:spacing w:after="0" w:line="240" w:lineRule="auto"/>
            </w:pPr>
            <w:r>
              <w:rPr>
                <w:b w:val="0"/>
                <w:color w:val="172033"/>
                <w:sz w:val="15"/>
              </w:rPr>
              <w:t>Blocked</w:t>
            </w:r>
          </w:p>
        </w:tc>
        <w:tc>
          <w:tcPr>
            <w:tcW w:type="dxa" w:w="1973"/>
            <w:tcMar>
              <w:top w:w="70" w:type="dxa"/>
              <w:start w:w="80" w:type="dxa"/>
              <w:bottom w:w="70" w:type="dxa"/>
              <w:end w:w="80" w:type="dxa"/>
            </w:tcMar>
            <w:vAlign w:val="top"/>
          </w:tcPr>
          <w:p>
            <w:pPr>
              <w:keepLines/>
              <w:spacing w:after="0" w:line="240" w:lineRule="auto"/>
            </w:pPr>
            <w:r>
              <w:rPr>
                <w:b w:val="0"/>
                <w:color w:val="172033"/>
                <w:sz w:val="15"/>
              </w:rPr>
              <w:t>No live quality, cost, or latency claim</w:t>
            </w:r>
          </w:p>
        </w:tc>
        <w:tc>
          <w:tcPr>
            <w:tcW w:type="dxa" w:w="1973"/>
            <w:tcMar>
              <w:top w:w="70" w:type="dxa"/>
              <w:start w:w="80" w:type="dxa"/>
              <w:bottom w:w="70" w:type="dxa"/>
              <w:end w:w="80" w:type="dxa"/>
            </w:tcMar>
            <w:vAlign w:val="top"/>
          </w:tcPr>
          <w:p>
            <w:pPr>
              <w:keepLines/>
              <w:spacing w:after="0" w:line="240" w:lineRule="auto"/>
            </w:pPr>
            <w:r>
              <w:rPr>
                <w:b w:val="0"/>
                <w:color w:val="172033"/>
                <w:sz w:val="15"/>
              </w:rPr>
              <w:t>New explicit contract, readiness, calibration, held-out fixed-executor evaluation</w:t>
            </w:r>
          </w:p>
        </w:tc>
      </w:tr>
      <w:tr>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R4</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PMS metadata may become hidden runtime authority</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Proposed risk</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External priority could distort context, safety, or availability</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Minimal adapter, standalone fallback, schema review, fail-closed tests</w:t>
            </w:r>
          </w:p>
        </w:tc>
      </w:tr>
      <w:tr>
        <w:tc>
          <w:tcPr>
            <w:tcW w:type="dxa" w:w="1973"/>
            <w:tcMar>
              <w:top w:w="70" w:type="dxa"/>
              <w:start w:w="80" w:type="dxa"/>
              <w:bottom w:w="70" w:type="dxa"/>
              <w:end w:w="80" w:type="dxa"/>
            </w:tcMar>
            <w:vAlign w:val="top"/>
          </w:tcPr>
          <w:p>
            <w:pPr>
              <w:keepLines/>
              <w:spacing w:after="0" w:line="240" w:lineRule="auto"/>
            </w:pPr>
            <w:r>
              <w:rPr>
                <w:b w:val="0"/>
                <w:color w:val="172033"/>
                <w:sz w:val="15"/>
              </w:rPr>
              <w:t>R5</w:t>
            </w:r>
          </w:p>
        </w:tc>
        <w:tc>
          <w:tcPr>
            <w:tcW w:type="dxa" w:w="1973"/>
            <w:tcMar>
              <w:top w:w="70" w:type="dxa"/>
              <w:start w:w="80" w:type="dxa"/>
              <w:bottom w:w="70" w:type="dxa"/>
              <w:end w:w="80" w:type="dxa"/>
            </w:tcMar>
            <w:vAlign w:val="top"/>
          </w:tcPr>
          <w:p>
            <w:pPr>
              <w:keepLines/>
              <w:spacing w:after="0" w:line="240" w:lineRule="auto"/>
            </w:pPr>
            <w:r>
              <w:rPr>
                <w:b w:val="0"/>
                <w:color w:val="172033"/>
                <w:sz w:val="15"/>
              </w:rPr>
              <w:t>Budget envelope may be mistaken for spend authorization</w:t>
            </w:r>
          </w:p>
        </w:tc>
        <w:tc>
          <w:tcPr>
            <w:tcW w:type="dxa" w:w="1973"/>
            <w:tcMar>
              <w:top w:w="70" w:type="dxa"/>
              <w:start w:w="80" w:type="dxa"/>
              <w:bottom w:w="70" w:type="dxa"/>
              <w:end w:w="80" w:type="dxa"/>
            </w:tcMar>
            <w:vAlign w:val="top"/>
          </w:tcPr>
          <w:p>
            <w:pPr>
              <w:keepLines/>
              <w:spacing w:after="0" w:line="240" w:lineRule="auto"/>
            </w:pPr>
            <w:r>
              <w:rPr>
                <w:b w:val="0"/>
                <w:color w:val="172033"/>
                <w:sz w:val="15"/>
              </w:rPr>
              <w:t>Proposed risk</w:t>
            </w:r>
          </w:p>
        </w:tc>
        <w:tc>
          <w:tcPr>
            <w:tcW w:type="dxa" w:w="1973"/>
            <w:tcMar>
              <w:top w:w="70" w:type="dxa"/>
              <w:start w:w="80" w:type="dxa"/>
              <w:bottom w:w="70" w:type="dxa"/>
              <w:end w:w="80" w:type="dxa"/>
            </w:tcMar>
            <w:vAlign w:val="top"/>
          </w:tcPr>
          <w:p>
            <w:pPr>
              <w:keepLines/>
              <w:spacing w:after="0" w:line="240" w:lineRule="auto"/>
            </w:pPr>
            <w:r>
              <w:rPr>
                <w:b w:val="0"/>
                <w:color w:val="172033"/>
                <w:sz w:val="15"/>
              </w:rPr>
              <w:t>Priority could trigger unauthorized cost or ceiling changes</w:t>
            </w:r>
          </w:p>
        </w:tc>
        <w:tc>
          <w:tcPr>
            <w:tcW w:type="dxa" w:w="1973"/>
            <w:tcMar>
              <w:top w:w="70" w:type="dxa"/>
              <w:start w:w="80" w:type="dxa"/>
              <w:bottom w:w="70" w:type="dxa"/>
              <w:end w:w="80" w:type="dxa"/>
            </w:tcMar>
            <w:vAlign w:val="top"/>
          </w:tcPr>
          <w:p>
            <w:pPr>
              <w:keepLines/>
              <w:spacing w:after="0" w:line="240" w:lineRule="auto"/>
            </w:pPr>
            <w:r>
              <w:rPr>
                <w:b w:val="0"/>
                <w:color w:val="172033"/>
                <w:sz w:val="15"/>
              </w:rPr>
              <w:t>Formal precedence, hard caps, explicit provider action, kill switch, audit</w:t>
            </w:r>
          </w:p>
        </w:tc>
      </w:tr>
      <w:tr>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R6</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Feedback aggregation may become surveillance</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Proposed risk</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Trust loss, misuse, and misleading productivity scores</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Content exclusion, minimum cohorts, anti-ranking policy, access and retention controls</w:t>
            </w:r>
          </w:p>
        </w:tc>
      </w:tr>
      <w:tr>
        <w:tc>
          <w:tcPr>
            <w:tcW w:type="dxa" w:w="1973"/>
            <w:tcMar>
              <w:top w:w="70" w:type="dxa"/>
              <w:start w:w="80" w:type="dxa"/>
              <w:bottom w:w="70" w:type="dxa"/>
              <w:end w:w="80" w:type="dxa"/>
            </w:tcMar>
            <w:vAlign w:val="top"/>
          </w:tcPr>
          <w:p>
            <w:pPr>
              <w:keepLines/>
              <w:spacing w:after="0" w:line="240" w:lineRule="auto"/>
            </w:pPr>
            <w:r>
              <w:rPr>
                <w:b w:val="0"/>
                <w:color w:val="172033"/>
                <w:sz w:val="15"/>
              </w:rPr>
              <w:t>R7</w:t>
            </w:r>
          </w:p>
        </w:tc>
        <w:tc>
          <w:tcPr>
            <w:tcW w:type="dxa" w:w="1973"/>
            <w:tcMar>
              <w:top w:w="70" w:type="dxa"/>
              <w:start w:w="80" w:type="dxa"/>
              <w:bottom w:w="70" w:type="dxa"/>
              <w:end w:w="80" w:type="dxa"/>
            </w:tcMar>
            <w:vAlign w:val="top"/>
          </w:tcPr>
          <w:p>
            <w:pPr>
              <w:keepLines/>
              <w:spacing w:after="0" w:line="240" w:lineRule="auto"/>
            </w:pPr>
            <w:r>
              <w:rPr>
                <w:b w:val="0"/>
                <w:color w:val="172033"/>
                <w:sz w:val="15"/>
              </w:rPr>
              <w:t>Estimated token measures may be treated as billing truth</w:t>
            </w:r>
          </w:p>
        </w:tc>
        <w:tc>
          <w:tcPr>
            <w:tcW w:type="dxa" w:w="1973"/>
            <w:tcMar>
              <w:top w:w="70" w:type="dxa"/>
              <w:start w:w="80" w:type="dxa"/>
              <w:bottom w:w="70" w:type="dxa"/>
              <w:end w:w="80" w:type="dxa"/>
            </w:tcMar>
            <w:vAlign w:val="top"/>
          </w:tcPr>
          <w:p>
            <w:pPr>
              <w:keepLines/>
              <w:spacing w:after="0" w:line="240" w:lineRule="auto"/>
            </w:pPr>
            <w:r>
              <w:rPr>
                <w:b w:val="0"/>
                <w:color w:val="172033"/>
                <w:sz w:val="15"/>
              </w:rPr>
              <w:t>Known limitation</w:t>
            </w:r>
          </w:p>
        </w:tc>
        <w:tc>
          <w:tcPr>
            <w:tcW w:type="dxa" w:w="1973"/>
            <w:tcMar>
              <w:top w:w="70" w:type="dxa"/>
              <w:start w:w="80" w:type="dxa"/>
              <w:bottom w:w="70" w:type="dxa"/>
              <w:end w:w="80" w:type="dxa"/>
            </w:tcMar>
            <w:vAlign w:val="top"/>
          </w:tcPr>
          <w:p>
            <w:pPr>
              <w:keepLines/>
              <w:spacing w:after="0" w:line="240" w:lineRule="auto"/>
            </w:pPr>
            <w:r>
              <w:rPr>
                <w:b w:val="0"/>
                <w:color w:val="172033"/>
                <w:sz w:val="15"/>
              </w:rPr>
              <w:t>Incorrect ROI or capacity decisions</w:t>
            </w:r>
          </w:p>
        </w:tc>
        <w:tc>
          <w:tcPr>
            <w:tcW w:type="dxa" w:w="1973"/>
            <w:tcMar>
              <w:top w:w="70" w:type="dxa"/>
              <w:start w:w="80" w:type="dxa"/>
              <w:bottom w:w="70" w:type="dxa"/>
              <w:end w:w="80" w:type="dxa"/>
            </w:tcMar>
            <w:vAlign w:val="top"/>
          </w:tcPr>
          <w:p>
            <w:pPr>
              <w:keepLines/>
              <w:spacing w:after="0" w:line="240" w:lineRule="auto"/>
            </w:pPr>
            <w:r>
              <w:rPr>
                <w:b w:val="0"/>
                <w:color w:val="172033"/>
                <w:sz w:val="15"/>
              </w:rPr>
              <w:t>Labeling, reconciliation contract, calibration and uncertainty reporting</w:t>
            </w:r>
          </w:p>
        </w:tc>
      </w:tr>
      <w:tr>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R8</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Management dashboards may optimize vanity adoption</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Proposed risk</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More usage without better outcomes</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Preregister usefulness, quality, budget, fallback, and control measures</w:t>
            </w:r>
          </w:p>
        </w:tc>
      </w:tr>
      <w:tr>
        <w:tc>
          <w:tcPr>
            <w:tcW w:type="dxa" w:w="1973"/>
            <w:tcMar>
              <w:top w:w="70" w:type="dxa"/>
              <w:start w:w="80" w:type="dxa"/>
              <w:bottom w:w="70" w:type="dxa"/>
              <w:end w:w="80" w:type="dxa"/>
            </w:tcMar>
            <w:vAlign w:val="top"/>
          </w:tcPr>
          <w:p>
            <w:pPr>
              <w:keepLines/>
              <w:spacing w:after="0" w:line="240" w:lineRule="auto"/>
            </w:pPr>
            <w:r>
              <w:rPr>
                <w:b w:val="0"/>
                <w:color w:val="172033"/>
                <w:sz w:val="15"/>
              </w:rPr>
              <w:t>R9</w:t>
            </w:r>
          </w:p>
        </w:tc>
        <w:tc>
          <w:tcPr>
            <w:tcW w:type="dxa" w:w="1973"/>
            <w:tcMar>
              <w:top w:w="70" w:type="dxa"/>
              <w:start w:w="80" w:type="dxa"/>
              <w:bottom w:w="70" w:type="dxa"/>
              <w:end w:w="80" w:type="dxa"/>
            </w:tcMar>
            <w:vAlign w:val="top"/>
          </w:tcPr>
          <w:p>
            <w:pPr>
              <w:keepLines/>
              <w:spacing w:after="0" w:line="240" w:lineRule="auto"/>
            </w:pPr>
            <w:r>
              <w:rPr>
                <w:b w:val="0"/>
                <w:color w:val="172033"/>
                <w:sz w:val="15"/>
              </w:rPr>
              <w:t>Minimum editor-version and release path are unqualified</w:t>
            </w:r>
          </w:p>
        </w:tc>
        <w:tc>
          <w:tcPr>
            <w:tcW w:type="dxa" w:w="1973"/>
            <w:tcMar>
              <w:top w:w="70" w:type="dxa"/>
              <w:start w:w="80" w:type="dxa"/>
              <w:bottom w:w="70" w:type="dxa"/>
              <w:end w:w="80" w:type="dxa"/>
            </w:tcMar>
            <w:vAlign w:val="top"/>
          </w:tcPr>
          <w:p>
            <w:pPr>
              <w:keepLines/>
              <w:spacing w:after="0" w:line="240" w:lineRule="auto"/>
            </w:pPr>
            <w:r>
              <w:rPr>
                <w:b w:val="0"/>
                <w:color w:val="172033"/>
                <w:sz w:val="15"/>
              </w:rPr>
              <w:t>Open</w:t>
            </w:r>
          </w:p>
        </w:tc>
        <w:tc>
          <w:tcPr>
            <w:tcW w:type="dxa" w:w="1973"/>
            <w:tcMar>
              <w:top w:w="70" w:type="dxa"/>
              <w:start w:w="80" w:type="dxa"/>
              <w:bottom w:w="70" w:type="dxa"/>
              <w:end w:w="80" w:type="dxa"/>
            </w:tcMar>
            <w:vAlign w:val="top"/>
          </w:tcPr>
          <w:p>
            <w:pPr>
              <w:keepLines/>
              <w:spacing w:after="0" w:line="240" w:lineRule="auto"/>
            </w:pPr>
            <w:r>
              <w:rPr>
                <w:b w:val="0"/>
                <w:color w:val="172033"/>
                <w:sz w:val="15"/>
              </w:rPr>
              <w:t>Compatibility or distribution claims may exceed evidence</w:t>
            </w:r>
          </w:p>
        </w:tc>
        <w:tc>
          <w:tcPr>
            <w:tcW w:type="dxa" w:w="1973"/>
            <w:tcMar>
              <w:top w:w="70" w:type="dxa"/>
              <w:start w:w="80" w:type="dxa"/>
              <w:bottom w:w="70" w:type="dxa"/>
              <w:end w:w="80" w:type="dxa"/>
            </w:tcMar>
            <w:vAlign w:val="top"/>
          </w:tcPr>
          <w:p>
            <w:pPr>
              <w:keepLines/>
              <w:spacing w:after="0" w:line="240" w:lineRule="auto"/>
            </w:pPr>
            <w:r>
              <w:rPr>
                <w:b w:val="0"/>
                <w:color w:val="172033"/>
                <w:sz w:val="15"/>
              </w:rPr>
              <w:t>Installed matrix, exact-SHA CI, publishing, rollback, and release evidence</w:t>
            </w:r>
          </w:p>
        </w:tc>
      </w:tr>
      <w:tr>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R10</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Lint and optional language fixtures are unavailable</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Known limitation</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Quality-evidence gap</w:t>
            </w:r>
          </w:p>
        </w:tc>
        <w:tc>
          <w:tcPr>
            <w:tcW w:type="dxa" w:w="1973"/>
            <w:shd w:fill="F6F8FA"/>
            <w:tcMar>
              <w:top w:w="70" w:type="dxa"/>
              <w:start w:w="80" w:type="dxa"/>
              <w:bottom w:w="70" w:type="dxa"/>
              <w:end w:w="80" w:type="dxa"/>
            </w:tcMar>
            <w:vAlign w:val="top"/>
          </w:tcPr>
          <w:p>
            <w:pPr>
              <w:keepLines/>
              <w:spacing w:after="0" w:line="240" w:lineRule="auto"/>
            </w:pPr>
            <w:r>
              <w:rPr>
                <w:b w:val="0"/>
                <w:color w:val="172033"/>
                <w:sz w:val="15"/>
              </w:rPr>
              <w:t>Install or authorize lint lane; provide fixture checkout or narrow claim</w:t>
            </w:r>
          </w:p>
        </w:tc>
      </w:tr>
    </w:tbl>
    <w:p>
      <w:pPr>
        <w:spacing w:after="0"/>
      </w:pPr>
    </w:p>
    <w:p>
      <w:pPr>
        <w:pStyle w:val="Heading2"/>
        <w:keepNext/>
      </w:pPr>
      <w:r>
        <w:rPr>
          <w:b w:val="0"/>
        </w:rPr>
        <w:t>11.1 Priority order</w:t>
      </w:r>
    </w:p>
    <w:p>
      <w:r>
        <w:rPr>
          <w:b w:val="0"/>
        </w:rPr>
        <w:t>R1 and R2 close the current local interaction baseline. R3 remains a separate blocked semantic gate and cannot be bundled into a management pilot. R4 through R8 must be designed before PMS or management integration is implemented. R9 and R10 remain ordinary qualification work and do not change the POC value proposition.</w:t>
      </w:r>
    </w:p>
    <w:p>
      <w:r>
        <w:br w:type="page"/>
      </w:r>
    </w:p>
    <w:p>
      <w:pPr>
        <w:pStyle w:val="Heading1"/>
        <w:keepNext/>
      </w:pPr>
      <w:r>
        <w:rPr>
          <w:b w:val="0"/>
        </w:rPr>
        <w:t>12. Recommended staged roadmap</w:t>
      </w:r>
    </w:p>
    <w:p>
      <w:pPr>
        <w:pStyle w:val="Heading2"/>
        <w:keepNext/>
      </w:pPr>
      <w:r>
        <w:rPr>
          <w:b w:val="0"/>
        </w:rPr>
        <w:t>Stage 1 — Experience and measure the current POC</w:t>
      </w:r>
    </w:p>
    <w:p>
      <w:pPr>
        <w:pStyle w:val="ListBullet"/>
      </w:pPr>
      <w:r>
        <w:rPr>
          <w:b w:val="0"/>
        </w:rPr>
        <w:t>use representative developer tasks;</w:t>
      </w:r>
    </w:p>
    <w:p>
      <w:pPr>
        <w:pStyle w:val="ListBullet"/>
      </w:pPr>
      <w:r>
        <w:rPr>
          <w:b w:val="0"/>
        </w:rPr>
        <w:t>assess context reuse, clarity, omission prevention, fatigue, and control;</w:t>
      </w:r>
    </w:p>
    <w:p>
      <w:pPr>
        <w:pStyle w:val="ListBullet"/>
      </w:pPr>
      <w:r>
        <w:rPr>
          <w:b w:val="0"/>
        </w:rPr>
        <w:t>capture qualitative local feedback without centralizing raw content;</w:t>
      </w:r>
    </w:p>
    <w:p>
      <w:pPr>
        <w:pStyle w:val="ListBullet"/>
      </w:pPr>
      <w:r>
        <w:rPr>
          <w:b w:val="0"/>
        </w:rPr>
        <w:t>confirm whether the management value hypothesis is worth further investment.</w:t>
      </w:r>
    </w:p>
    <w:p>
      <w:pPr>
        <w:pStyle w:val="Heading2"/>
        <w:keepNext/>
      </w:pPr>
      <w:r>
        <w:rPr>
          <w:b w:val="0"/>
        </w:rPr>
        <w:t>Stage 2 — Stabilize the interaction baseline</w:t>
      </w:r>
    </w:p>
    <w:p>
      <w:pPr>
        <w:pStyle w:val="ListBullet"/>
      </w:pPr>
      <w:r>
        <w:rPr>
          <w:b w:val="0"/>
        </w:rPr>
        <w:t>complete the focused answer/skip/application slice;</w:t>
      </w:r>
    </w:p>
    <w:p>
      <w:pPr>
        <w:pStyle w:val="ListBullet"/>
      </w:pPr>
      <w:r>
        <w:rPr>
          <w:b w:val="0"/>
        </w:rPr>
        <w:t>bind answers to the current session, context version, and source plan;</w:t>
      </w:r>
    </w:p>
    <w:p>
      <w:pPr>
        <w:pStyle w:val="ListBullet"/>
      </w:pPr>
      <w:r>
        <w:rPr>
          <w:b w:val="0"/>
        </w:rPr>
        <w:t>rerun affected local suites and narrow-layout evidence;</w:t>
      </w:r>
    </w:p>
    <w:p>
      <w:pPr>
        <w:pStyle w:val="ListBullet"/>
      </w:pPr>
      <w:r>
        <w:rPr>
          <w:b w:val="0"/>
        </w:rPr>
        <w:t>obtain a fresh exact-tree cross-process restart/resume/reset result;</w:t>
      </w:r>
    </w:p>
    <w:p>
      <w:pPr>
        <w:pStyle w:val="ListBullet"/>
      </w:pPr>
      <w:r>
        <w:rPr>
          <w:b w:val="0"/>
        </w:rPr>
        <w:t>record exact SHA, package hash, editor version, and raw markers.</w:t>
      </w:r>
    </w:p>
    <w:p>
      <w:pPr>
        <w:pStyle w:val="Heading2"/>
        <w:keepNext/>
      </w:pPr>
      <w:r>
        <w:rPr>
          <w:b w:val="0"/>
        </w:rPr>
        <w:t>Stage 3 — Freeze management hypotheses and governance</w:t>
      </w:r>
    </w:p>
    <w:p>
      <w:pPr>
        <w:pStyle w:val="ListBullet"/>
      </w:pPr>
      <w:r>
        <w:rPr>
          <w:b w:val="0"/>
        </w:rPr>
        <w:t>choose one target workflow and one primary outcome hypothesis;</w:t>
      </w:r>
    </w:p>
    <w:p>
      <w:pPr>
        <w:pStyle w:val="ListBullet"/>
      </w:pPr>
      <w:r>
        <w:rPr>
          <w:b w:val="0"/>
        </w:rPr>
        <w:t>define useful adoption, quality, budget, fallback, and control measures;</w:t>
      </w:r>
    </w:p>
    <w:p>
      <w:pPr>
        <w:pStyle w:val="ListBullet"/>
      </w:pPr>
      <w:r>
        <w:rPr>
          <w:b w:val="0"/>
        </w:rPr>
        <w:t>freeze the minimal PMS adapter schema;</w:t>
      </w:r>
    </w:p>
    <w:p>
      <w:pPr>
        <w:pStyle w:val="ListBullet"/>
      </w:pPr>
      <w:r>
        <w:rPr>
          <w:b w:val="0"/>
        </w:rPr>
        <w:t>define budget-policy precedence, caps, expiry, exception path, and kill switch;</w:t>
      </w:r>
    </w:p>
    <w:p>
      <w:pPr>
        <w:pStyle w:val="ListBullet"/>
      </w:pPr>
      <w:r>
        <w:rPr>
          <w:b w:val="0"/>
        </w:rPr>
        <w:t>define the content-free feedback schema, retention, access, aggregation, deletion, and opt-out rules;</w:t>
      </w:r>
    </w:p>
    <w:p>
      <w:pPr>
        <w:pStyle w:val="ListBullet"/>
      </w:pPr>
      <w:r>
        <w:rPr>
          <w:b w:val="0"/>
        </w:rPr>
        <w:t>complete privacy, security, legal, and worker-trust review as appropriate.</w:t>
      </w:r>
    </w:p>
    <w:p>
      <w:pPr>
        <w:pStyle w:val="Heading2"/>
        <w:keepNext/>
      </w:pPr>
      <w:r>
        <w:rPr>
          <w:b w:val="0"/>
        </w:rPr>
        <w:t>Stage 4 — Run offline and shadow allocation</w:t>
      </w:r>
    </w:p>
    <w:p>
      <w:pPr>
        <w:pStyle w:val="ListBullet"/>
      </w:pPr>
      <w:r>
        <w:rPr>
          <w:b w:val="0"/>
        </w:rPr>
        <w:t>replay representative task metadata without changing runtime behavior;</w:t>
      </w:r>
    </w:p>
    <w:p>
      <w:pPr>
        <w:pStyle w:val="ListBullet"/>
      </w:pPr>
      <w:r>
        <w:rPr>
          <w:b w:val="0"/>
        </w:rPr>
        <w:t>compare proposed envelopes with the deterministic baseline;</w:t>
      </w:r>
    </w:p>
    <w:p>
      <w:pPr>
        <w:pStyle w:val="ListBullet"/>
      </w:pPr>
      <w:r>
        <w:rPr>
          <w:b w:val="0"/>
        </w:rPr>
        <w:t>test stale PMS data, missing adapter, priority escalation, policy rollback, and ceiling conflicts;</w:t>
      </w:r>
    </w:p>
    <w:p>
      <w:pPr>
        <w:pStyle w:val="ListBullet"/>
      </w:pPr>
      <w:r>
        <w:rPr>
          <w:b w:val="0"/>
        </w:rPr>
        <w:t>verify that no shadow result authorizes a provider call or spend;</w:t>
      </w:r>
    </w:p>
    <w:p>
      <w:pPr>
        <w:pStyle w:val="ListBullet"/>
      </w:pPr>
      <w:r>
        <w:rPr>
          <w:b w:val="0"/>
        </w:rPr>
        <w:t>measure budget stability and explainability.</w:t>
      </w:r>
    </w:p>
    <w:p>
      <w:pPr>
        <w:pStyle w:val="Heading2"/>
        <w:keepNext/>
      </w:pPr>
      <w:r>
        <w:rPr>
          <w:b w:val="0"/>
        </w:rPr>
        <w:t>Stage 5 — Pilot one bounded workflow</w:t>
      </w:r>
    </w:p>
    <w:p>
      <w:pPr>
        <w:pStyle w:val="ListBullet"/>
      </w:pPr>
      <w:r>
        <w:rPr>
          <w:b w:val="0"/>
        </w:rPr>
        <w:t>restrict the pilot to one workflow, cohort, policy version, time window, and budget;</w:t>
      </w:r>
    </w:p>
    <w:p>
      <w:pPr>
        <w:pStyle w:val="ListBullet"/>
      </w:pPr>
      <w:r>
        <w:rPr>
          <w:b w:val="0"/>
        </w:rPr>
        <w:t>keep explicit provider action and human approval;</w:t>
      </w:r>
    </w:p>
    <w:p>
      <w:pPr>
        <w:pStyle w:val="ListBullet"/>
      </w:pPr>
      <w:r>
        <w:rPr>
          <w:b w:val="0"/>
        </w:rPr>
        <w:t>review outcome, control, privacy, and cost signals at preregistered checkpoints;</w:t>
      </w:r>
    </w:p>
    <w:p>
      <w:pPr>
        <w:pStyle w:val="ListBullet"/>
      </w:pPr>
      <w:r>
        <w:rPr>
          <w:b w:val="0"/>
        </w:rPr>
        <w:t>stop on guardrail breach;</w:t>
      </w:r>
    </w:p>
    <w:p>
      <w:pPr>
        <w:pStyle w:val="ListBullet"/>
      </w:pPr>
      <w:r>
        <w:rPr>
          <w:b w:val="0"/>
        </w:rPr>
        <w:t>decide whether to iterate, scale, or retire the mechanism.</w:t>
      </w:r>
    </w:p>
    <w:p>
      <w:pPr>
        <w:pStyle w:val="Heading2"/>
        <w:keepNext/>
      </w:pPr>
      <w:r>
        <w:rPr>
          <w:b w:val="0"/>
        </w:rPr>
        <w:t>Stage 6 — Reopen semantic and promotion decisions separately</w:t>
      </w:r>
    </w:p>
    <w:p>
      <w:pPr>
        <w:pStyle w:val="ListBullet"/>
      </w:pPr>
      <w:r>
        <w:rPr>
          <w:b w:val="0"/>
        </w:rPr>
        <w:t>preserve the original Phase 4 failed-stop evidence;</w:t>
      </w:r>
    </w:p>
    <w:p>
      <w:pPr>
        <w:pStyle w:val="ListBullet"/>
      </w:pPr>
      <w:r>
        <w:rPr>
          <w:b w:val="0"/>
        </w:rPr>
        <w:t>obtain a new explicit provider, data, call, cost, and threshold contract before any retry;</w:t>
      </w:r>
    </w:p>
    <w:p>
      <w:pPr>
        <w:pStyle w:val="ListBullet"/>
      </w:pPr>
      <w:r>
        <w:rPr>
          <w:b w:val="0"/>
        </w:rPr>
        <w:t>complete compatibility, calibration, and fixed-executor evaluation;</w:t>
      </w:r>
    </w:p>
    <w:p>
      <w:pPr>
        <w:pStyle w:val="ListBullet"/>
      </w:pPr>
      <w:r>
        <w:rPr>
          <w:b w:val="0"/>
        </w:rPr>
        <w:t>treat merge, tag, release, marketplace, and production rollout as separate decisions.</w:t>
      </w:r>
    </w:p>
    <w:p>
      <w:r>
        <w:br w:type="page"/>
      </w:r>
    </w:p>
    <w:p>
      <w:pPr>
        <w:pStyle w:val="Heading1"/>
        <w:keepNext/>
      </w:pPr>
      <w:r>
        <w:rPr>
          <w:b w:val="0"/>
        </w:rPr>
        <w:t>13. Repository and promotion boundary</w:t>
      </w:r>
    </w:p>
    <w:p>
      <w:r>
        <w:rPr>
          <w:b w:val="0"/>
        </w:rPr>
        <w:t xml:space="preserve">At the implementation snapshot, the live functional remote and local checkout both resolved to </w:t>
      </w:r>
      <w:r>
        <w:rPr>
          <w:rFonts w:ascii="Aptos Mono" w:hAnsi="Aptos Mono"/>
          <w:color w:val="17365D"/>
          <w:sz w:val="16"/>
        </w:rPr>
        <w:t>5088dbf6e5fdeea2415b991c429de8e5229d7a7b</w:t>
      </w:r>
      <w:r>
        <w:rPr>
          <w:b w:val="0"/>
        </w:rPr>
        <w:t xml:space="preserve">, and the feature branch was 28 commits ahead of live </w:t>
      </w:r>
      <w:r>
        <w:rPr>
          <w:rFonts w:ascii="Aptos Mono" w:hAnsi="Aptos Mono"/>
          <w:color w:val="17365D"/>
          <w:sz w:val="16"/>
        </w:rPr>
        <w:t>origin/main</w:t>
      </w:r>
      <w:r>
        <w:rPr>
          <w:b w:val="0"/>
        </w:rPr>
        <w:t xml:space="preserve">. The POC is therefore present on the functional branch but not on </w:t>
      </w:r>
      <w:r>
        <w:rPr>
          <w:rFonts w:ascii="Aptos Mono" w:hAnsi="Aptos Mono"/>
          <w:color w:val="17365D"/>
          <w:sz w:val="16"/>
        </w:rPr>
        <w:t>main</w:t>
      </w:r>
      <w:r>
        <w:rPr>
          <w:b w:val="0"/>
        </w:rPr>
        <w:t>.</w:t>
      </w:r>
    </w:p>
    <w:p>
      <w:r>
        <w:rPr>
          <w:b w:val="0"/>
        </w:rPr>
        <w:t>This report and its companion deck are documentation artifacts. Pushing them to the existing functional branch does not change the product evidence baseline and does not imply:</w:t>
      </w:r>
    </w:p>
    <w:p>
      <w:pPr>
        <w:pStyle w:val="ListBullet"/>
      </w:pPr>
      <w:r>
        <w:rPr>
          <w:b w:val="0"/>
        </w:rPr>
        <w:t xml:space="preserve">merge to </w:t>
      </w:r>
      <w:r>
        <w:rPr>
          <w:rFonts w:ascii="Aptos Mono" w:hAnsi="Aptos Mono"/>
          <w:color w:val="17365D"/>
          <w:sz w:val="16"/>
        </w:rPr>
        <w:t>main</w:t>
      </w:r>
      <w:r>
        <w:rPr>
          <w:b w:val="0"/>
        </w:rPr>
        <w:t>;</w:t>
      </w:r>
    </w:p>
    <w:p>
      <w:pPr>
        <w:pStyle w:val="ListBullet"/>
      </w:pPr>
      <w:r>
        <w:rPr>
          <w:b w:val="0"/>
        </w:rPr>
        <w:t>baseline promotion;</w:t>
      </w:r>
    </w:p>
    <w:p>
      <w:pPr>
        <w:pStyle w:val="ListBullet"/>
      </w:pPr>
      <w:r>
        <w:rPr>
          <w:b w:val="0"/>
        </w:rPr>
        <w:t>tag or release;</w:t>
      </w:r>
    </w:p>
    <w:p>
      <w:pPr>
        <w:pStyle w:val="ListBullet"/>
      </w:pPr>
      <w:r>
        <w:rPr>
          <w:b w:val="0"/>
        </w:rPr>
        <w:t>marketplace publication;</w:t>
      </w:r>
    </w:p>
    <w:p>
      <w:pPr>
        <w:pStyle w:val="ListBullet"/>
      </w:pPr>
      <w:r>
        <w:rPr>
          <w:b w:val="0"/>
        </w:rPr>
        <w:t>provider authorization;</w:t>
      </w:r>
    </w:p>
    <w:p>
      <w:pPr>
        <w:pStyle w:val="ListBullet"/>
      </w:pPr>
      <w:r>
        <w:rPr>
          <w:b w:val="0"/>
        </w:rPr>
        <w:t>PMS integration authorization;</w:t>
      </w:r>
    </w:p>
    <w:p>
      <w:pPr>
        <w:pStyle w:val="ListBullet"/>
      </w:pPr>
      <w:r>
        <w:rPr>
          <w:b w:val="0"/>
        </w:rPr>
        <w:t>management telemetry deployment;</w:t>
      </w:r>
    </w:p>
    <w:p>
      <w:pPr>
        <w:pStyle w:val="ListBullet"/>
      </w:pPr>
      <w:r>
        <w:rPr>
          <w:b w:val="0"/>
        </w:rPr>
        <w:t>production readiness.</w:t>
      </w:r>
    </w:p>
    <w:p>
      <w:r>
        <w:rPr>
          <w:b w:val="0"/>
        </w:rPr>
        <w:t>Each later action requires its own exact candidate, evidence, review, and authority.</w:t>
      </w:r>
    </w:p>
    <w:p>
      <w:r>
        <w:br w:type="page"/>
      </w:r>
    </w:p>
    <w:p>
      <w:pPr>
        <w:pStyle w:val="Heading1"/>
        <w:keepNext/>
      </w:pPr>
      <w:r>
        <w:rPr>
          <w:b w:val="0"/>
        </w:rPr>
        <w:t>Appendix A — Current versus future scope</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trPr>
        <w:tc>
          <w:tcPr>
            <w:tcW w:type="dxa" w:w="3289"/>
            <w:shd w:fill="17365D"/>
            <w:tcMar>
              <w:top w:w="70" w:type="dxa"/>
              <w:start w:w="80" w:type="dxa"/>
              <w:bottom w:w="70" w:type="dxa"/>
              <w:end w:w="80" w:type="dxa"/>
            </w:tcMar>
          </w:tcPr>
          <w:p>
            <w:pPr>
              <w:keepLines/>
              <w:spacing w:after="0"/>
            </w:pPr>
            <w:r>
              <w:rPr>
                <w:b/>
                <w:color w:val="FFFFFF"/>
                <w:sz w:val="15"/>
              </w:rPr>
              <w:t>Area</w:t>
            </w:r>
          </w:p>
        </w:tc>
        <w:tc>
          <w:tcPr>
            <w:tcW w:type="dxa" w:w="3289"/>
            <w:shd w:fill="17365D"/>
            <w:tcMar>
              <w:top w:w="70" w:type="dxa"/>
              <w:start w:w="80" w:type="dxa"/>
              <w:bottom w:w="70" w:type="dxa"/>
              <w:end w:w="80" w:type="dxa"/>
            </w:tcMar>
          </w:tcPr>
          <w:p>
            <w:pPr>
              <w:keepLines/>
              <w:spacing w:after="0"/>
            </w:pPr>
            <w:r>
              <w:rPr>
                <w:b/>
                <w:color w:val="FFFFFF"/>
                <w:sz w:val="15"/>
              </w:rPr>
              <w:t>Current local POC</w:t>
            </w:r>
          </w:p>
        </w:tc>
        <w:tc>
          <w:tcPr>
            <w:tcW w:type="dxa" w:w="3289"/>
            <w:shd w:fill="17365D"/>
            <w:tcMar>
              <w:top w:w="70" w:type="dxa"/>
              <w:start w:w="80" w:type="dxa"/>
              <w:bottom w:w="70" w:type="dxa"/>
              <w:end w:w="80" w:type="dxa"/>
            </w:tcMar>
          </w:tcPr>
          <w:p>
            <w:pPr>
              <w:keepLines/>
              <w:spacing w:after="0"/>
            </w:pPr>
            <w:r>
              <w:rPr>
                <w:b/>
                <w:color w:val="FFFFFF"/>
                <w:sz w:val="15"/>
              </w:rPr>
              <w:t>Proposed future extension</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Project knowledge</w:t>
            </w:r>
          </w:p>
        </w:tc>
        <w:tc>
          <w:tcPr>
            <w:tcW w:type="dxa" w:w="3289"/>
            <w:tcMar>
              <w:top w:w="70" w:type="dxa"/>
              <w:start w:w="80" w:type="dxa"/>
              <w:bottom w:w="70" w:type="dxa"/>
              <w:end w:w="80" w:type="dxa"/>
            </w:tcMar>
            <w:vAlign w:val="top"/>
          </w:tcPr>
          <w:p>
            <w:pPr>
              <w:keepLines/>
              <w:spacing w:after="0" w:line="240" w:lineRule="auto"/>
            </w:pPr>
            <w:r>
              <w:rPr>
                <w:b w:val="0"/>
                <w:color w:val="172033"/>
                <w:sz w:val="15"/>
              </w:rPr>
              <w:t>Consent-based reviewed Project Meta Context</w:t>
            </w:r>
          </w:p>
        </w:tc>
        <w:tc>
          <w:tcPr>
            <w:tcW w:type="dxa" w:w="3289"/>
            <w:tcMar>
              <w:top w:w="70" w:type="dxa"/>
              <w:start w:w="80" w:type="dxa"/>
              <w:bottom w:w="70" w:type="dxa"/>
              <w:end w:w="80" w:type="dxa"/>
            </w:tcMar>
            <w:vAlign w:val="top"/>
          </w:tcPr>
          <w:p>
            <w:pPr>
              <w:keepLines/>
              <w:spacing w:after="0" w:line="240" w:lineRule="auto"/>
            </w:pPr>
            <w:r>
              <w:rPr>
                <w:b w:val="0"/>
                <w:color w:val="172033"/>
                <w:sz w:val="15"/>
              </w:rPr>
              <w:t>Approved organization or portfolio adapter only if separately designed</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Task input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Assignment, type, criticality, prompt, bounded context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Minimal PMS sprint/task metadata</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Composition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Deterministic source planning and local candidate</w:t>
            </w:r>
          </w:p>
        </w:tc>
        <w:tc>
          <w:tcPr>
            <w:tcW w:type="dxa" w:w="3289"/>
            <w:tcMar>
              <w:top w:w="70" w:type="dxa"/>
              <w:start w:w="80" w:type="dxa"/>
              <w:bottom w:w="70" w:type="dxa"/>
              <w:end w:w="80" w:type="dxa"/>
            </w:tcMar>
            <w:vAlign w:val="top"/>
          </w:tcPr>
          <w:p>
            <w:pPr>
              <w:keepLines/>
              <w:spacing w:after="0" w:line="240" w:lineRule="auto"/>
            </w:pPr>
            <w:r>
              <w:rPr>
                <w:b w:val="0"/>
                <w:color w:val="172033"/>
                <w:sz w:val="15"/>
              </w:rPr>
              <w:t>Policy-bounded context and composition depth</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Token handling</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Deterministic estimate and strict projection contract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Capped task envelope with reconciliation and policy reason codes</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Clarification</w:t>
            </w:r>
          </w:p>
        </w:tc>
        <w:tc>
          <w:tcPr>
            <w:tcW w:type="dxa" w:w="3289"/>
            <w:tcMar>
              <w:top w:w="70" w:type="dxa"/>
              <w:start w:w="80" w:type="dxa"/>
              <w:bottom w:w="70" w:type="dxa"/>
              <w:end w:w="80" w:type="dxa"/>
            </w:tcMar>
            <w:vAlign w:val="top"/>
          </w:tcPr>
          <w:p>
            <w:pPr>
              <w:keepLines/>
              <w:spacing w:after="0" w:line="240" w:lineRule="auto"/>
            </w:pPr>
            <w:r>
              <w:rPr>
                <w:b w:val="0"/>
                <w:color w:val="172033"/>
                <w:sz w:val="15"/>
              </w:rPr>
              <w:t>Material-gap detection and display</w:t>
            </w:r>
          </w:p>
        </w:tc>
        <w:tc>
          <w:tcPr>
            <w:tcW w:type="dxa" w:w="3289"/>
            <w:tcMar>
              <w:top w:w="70" w:type="dxa"/>
              <w:start w:w="80" w:type="dxa"/>
              <w:bottom w:w="70" w:type="dxa"/>
              <w:end w:w="80" w:type="dxa"/>
            </w:tcMar>
            <w:vAlign w:val="top"/>
          </w:tcPr>
          <w:p>
            <w:pPr>
              <w:keepLines/>
              <w:spacing w:after="0" w:line="240" w:lineRule="auto"/>
            </w:pPr>
            <w:r>
              <w:rPr>
                <w:b w:val="0"/>
                <w:color w:val="172033"/>
                <w:sz w:val="15"/>
              </w:rPr>
              <w:t>One-question answer/skip/application; later aggregate gap categories</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Feedback</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Local rating, tags, note, estimate, elapsed time, evaluation export</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Consented content-free events, cohort aggregation, management insight</w:t>
            </w:r>
          </w:p>
        </w:tc>
      </w:tr>
      <w:tr>
        <w:tc>
          <w:tcPr>
            <w:tcW w:type="dxa" w:w="3289"/>
            <w:tcMar>
              <w:top w:w="70" w:type="dxa"/>
              <w:start w:w="80" w:type="dxa"/>
              <w:bottom w:w="70" w:type="dxa"/>
              <w:end w:w="80" w:type="dxa"/>
            </w:tcMar>
            <w:vAlign w:val="top"/>
          </w:tcPr>
          <w:p>
            <w:pPr>
              <w:keepLines/>
              <w:spacing w:after="0" w:line="240" w:lineRule="auto"/>
            </w:pPr>
            <w:r>
              <w:rPr>
                <w:b w:val="0"/>
                <w:color w:val="172033"/>
                <w:sz w:val="15"/>
              </w:rPr>
              <w:t>Control</w:t>
            </w:r>
          </w:p>
        </w:tc>
        <w:tc>
          <w:tcPr>
            <w:tcW w:type="dxa" w:w="3289"/>
            <w:tcMar>
              <w:top w:w="70" w:type="dxa"/>
              <w:start w:w="80" w:type="dxa"/>
              <w:bottom w:w="70" w:type="dxa"/>
              <w:end w:w="80" w:type="dxa"/>
            </w:tcMar>
            <w:vAlign w:val="top"/>
          </w:tcPr>
          <w:p>
            <w:pPr>
              <w:keepLines/>
              <w:spacing w:after="0" w:line="240" w:lineRule="auto"/>
            </w:pPr>
            <w:r>
              <w:rPr>
                <w:b w:val="0"/>
                <w:color w:val="172033"/>
                <w:sz w:val="15"/>
              </w:rPr>
              <w:t>Consent, explicit provider action, human review, scoped reset</w:t>
            </w:r>
          </w:p>
        </w:tc>
        <w:tc>
          <w:tcPr>
            <w:tcW w:type="dxa" w:w="3289"/>
            <w:tcMar>
              <w:top w:w="70" w:type="dxa"/>
              <w:start w:w="80" w:type="dxa"/>
              <w:bottom w:w="70" w:type="dxa"/>
              <w:end w:w="80" w:type="dxa"/>
            </w:tcMar>
            <w:vAlign w:val="top"/>
          </w:tcPr>
          <w:p>
            <w:pPr>
              <w:keepLines/>
              <w:spacing w:after="0" w:line="240" w:lineRule="auto"/>
            </w:pPr>
            <w:r>
              <w:rPr>
                <w:b w:val="0"/>
                <w:color w:val="172033"/>
                <w:sz w:val="15"/>
              </w:rPr>
              <w:t>Versioned policy, kill switch, aggregation thresholds, audit and rollback</w:t>
            </w:r>
          </w:p>
        </w:tc>
      </w:tr>
      <w:tr>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Provider evidence</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Local contract and failure behavior</w:t>
            </w:r>
          </w:p>
        </w:tc>
        <w:tc>
          <w:tcPr>
            <w:tcW w:type="dxa" w:w="3289"/>
            <w:shd w:fill="F6F8FA"/>
            <w:tcMar>
              <w:top w:w="70" w:type="dxa"/>
              <w:start w:w="80" w:type="dxa"/>
              <w:bottom w:w="70" w:type="dxa"/>
              <w:end w:w="80" w:type="dxa"/>
            </w:tcMar>
            <w:vAlign w:val="top"/>
          </w:tcPr>
          <w:p>
            <w:pPr>
              <w:keepLines/>
              <w:spacing w:after="0" w:line="240" w:lineRule="auto"/>
            </w:pPr>
            <w:r>
              <w:rPr>
                <w:b w:val="0"/>
                <w:color w:val="172033"/>
                <w:sz w:val="15"/>
              </w:rPr>
              <w:t>Separately authorized live qualification and fixed-executor comparison</w:t>
            </w:r>
          </w:p>
        </w:tc>
      </w:tr>
    </w:tbl>
    <w:p>
      <w:pPr>
        <w:spacing w:after="0"/>
      </w:pPr>
    </w:p>
    <w:p>
      <w:pPr>
        <w:pStyle w:val="Heading1"/>
        <w:keepNext/>
      </w:pPr>
      <w:r>
        <w:rPr>
          <w:b w:val="0"/>
        </w:rPr>
        <w:t>Appendix B — Evidence map</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Topic</w:t>
            </w:r>
          </w:p>
        </w:tc>
        <w:tc>
          <w:tcPr>
            <w:tcW w:type="dxa" w:w="4933"/>
            <w:shd w:fill="17365D"/>
            <w:tcMar>
              <w:top w:w="70" w:type="dxa"/>
              <w:start w:w="80" w:type="dxa"/>
              <w:bottom w:w="70" w:type="dxa"/>
              <w:end w:w="80" w:type="dxa"/>
            </w:tcMar>
          </w:tcPr>
          <w:p>
            <w:pPr>
              <w:keepLines/>
              <w:spacing w:after="0"/>
            </w:pPr>
            <w:r>
              <w:rPr>
                <w:b/>
                <w:color w:val="FFFFFF"/>
                <w:sz w:val="15"/>
              </w:rPr>
              <w:t>Primary evidence location</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Product direction</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AGENTS.md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Current compact truth</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docs/prompt-optimizer-program/context.md</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Progress and boundaries</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docs/prompt-optimizer-program/progress.md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Acceptance contract</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docs/prompt-optimizer-program/expected.md</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Operating invariants</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docs/prompt-optimizer-program/operation-policy.md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Session and installed evidence</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docs/prompt-optimizer-program/phases/phase-5-outcome.md</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Broad local matrix</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docs/prompt-optimizer-program/phases/phase-6-outcome.md</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Package identity</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artifacts/vsix/developer-work-intelligence-0.1.0.evidence.json</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Versioned session store</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apps/dwi-host/src/prompt-optimizer-session-store.ts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Host orchestration</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apps/dwi-host/src/extension.ts</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Task-time questions</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packages/domain/prompt-optimizer/src/v2/questions.ts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Local feedback primitive</w:t>
            </w:r>
          </w:p>
        </w:tc>
        <w:tc>
          <w:tcPr>
            <w:tcW w:type="dxa" w:w="4933"/>
            <w:shd w:fill="F6F8FA"/>
            <w:tcMar>
              <w:top w:w="70" w:type="dxa"/>
              <w:start w:w="80" w:type="dxa"/>
              <w:bottom w:w="70" w:type="dxa"/>
              <w:end w:w="80" w:type="dxa"/>
            </w:tcMar>
            <w:vAlign w:val="top"/>
          </w:tcPr>
          <w:p>
            <w:pPr>
              <w:keepLines/>
              <w:spacing w:after="0" w:line="240" w:lineRule="auto"/>
            </w:pPr>
            <w:r>
              <w:rPr>
                <w:rFonts w:ascii="Aptos Mono" w:hAnsi="Aptos Mono"/>
                <w:color w:val="172033"/>
                <w:sz w:val="15"/>
              </w:rPr>
              <w:t>packages/dwi-core/src/index.ts</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Installed restart verifier</w:t>
            </w:r>
          </w:p>
        </w:tc>
        <w:tc>
          <w:tcPr>
            <w:tcW w:type="dxa" w:w="4933"/>
            <w:tcMar>
              <w:top w:w="70" w:type="dxa"/>
              <w:start w:w="80" w:type="dxa"/>
              <w:bottom w:w="70" w:type="dxa"/>
              <w:end w:w="80" w:type="dxa"/>
            </w:tcMar>
            <w:vAlign w:val="top"/>
          </w:tcPr>
          <w:p>
            <w:pPr>
              <w:keepLines/>
              <w:spacing w:after="0" w:line="240" w:lineRule="auto"/>
            </w:pPr>
            <w:r>
              <w:rPr>
                <w:rFonts w:ascii="Aptos Mono" w:hAnsi="Aptos Mono"/>
                <w:color w:val="172033"/>
                <w:sz w:val="15"/>
              </w:rPr>
              <w:t>scripts/verify-installed-restart.mjs</w:t>
            </w:r>
          </w:p>
        </w:tc>
      </w:tr>
    </w:tbl>
    <w:p>
      <w:pPr>
        <w:spacing w:after="0"/>
      </w:pPr>
    </w:p>
    <w:p>
      <w:pPr>
        <w:pStyle w:val="Heading1"/>
        <w:keepNext/>
      </w:pPr>
      <w:r>
        <w:rPr>
          <w:b w:val="0"/>
        </w:rPr>
        <w:t>Appendix C — Glossary</w:t>
      </w:r>
    </w:p>
    <w:tbl>
      <w:tblPr>
        <w:tblStyle w:val="TableGrid"/>
        <w:tblW w:type="auto" w:w="0"/>
        <w:jc w:val="center"/>
        <w:tblLayout w:type="autofit"/>
        <w:tblLook w:firstColumn="1" w:firstRow="1" w:lastColumn="0" w:lastRow="0" w:noHBand="0" w:noVBand="1" w:val="04A0"/>
      </w:tblPr>
      <w:tblGrid>
        <w:gridCol w:w="4933"/>
        <w:gridCol w:w="4933"/>
      </w:tblGrid>
      <w:tr>
        <w:trPr>
          <w:tblHeader w:val="true"/>
        </w:trPr>
        <w:tc>
          <w:tcPr>
            <w:tcW w:type="dxa" w:w="4933"/>
            <w:shd w:fill="17365D"/>
            <w:tcMar>
              <w:top w:w="70" w:type="dxa"/>
              <w:start w:w="80" w:type="dxa"/>
              <w:bottom w:w="70" w:type="dxa"/>
              <w:end w:w="80" w:type="dxa"/>
            </w:tcMar>
          </w:tcPr>
          <w:p>
            <w:pPr>
              <w:keepLines/>
              <w:spacing w:after="0"/>
            </w:pPr>
            <w:r>
              <w:rPr>
                <w:b/>
                <w:color w:val="FFFFFF"/>
                <w:sz w:val="15"/>
              </w:rPr>
              <w:t>Term</w:t>
            </w:r>
          </w:p>
        </w:tc>
        <w:tc>
          <w:tcPr>
            <w:tcW w:type="dxa" w:w="4933"/>
            <w:shd w:fill="17365D"/>
            <w:tcMar>
              <w:top w:w="70" w:type="dxa"/>
              <w:start w:w="80" w:type="dxa"/>
              <w:bottom w:w="70" w:type="dxa"/>
              <w:end w:w="80" w:type="dxa"/>
            </w:tcMar>
          </w:tcPr>
          <w:p>
            <w:pPr>
              <w:keepLines/>
              <w:spacing w:after="0"/>
            </w:pPr>
            <w:r>
              <w:rPr>
                <w:b/>
                <w:color w:val="FFFFFF"/>
                <w:sz w:val="15"/>
              </w:rPr>
              <w:t>Definition</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Project Meta Context</w:t>
            </w:r>
          </w:p>
        </w:tc>
        <w:tc>
          <w:tcPr>
            <w:tcW w:type="dxa" w:w="4933"/>
            <w:tcMar>
              <w:top w:w="70" w:type="dxa"/>
              <w:start w:w="80" w:type="dxa"/>
              <w:bottom w:w="70" w:type="dxa"/>
              <w:end w:w="80" w:type="dxa"/>
            </w:tcMar>
            <w:vAlign w:val="top"/>
          </w:tcPr>
          <w:p>
            <w:pPr>
              <w:keepLines/>
              <w:spacing w:after="0" w:line="240" w:lineRule="auto"/>
            </w:pPr>
            <w:r>
              <w:rPr>
                <w:b w:val="0"/>
                <w:color w:val="172033"/>
                <w:sz w:val="15"/>
              </w:rPr>
              <w:t>Persistent, consent-based, developer-reviewed project knowledge used by later DWI workflows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Gap-filler</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Task-time clarification flow for material facts absent from approved context and current input</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Deterministic candidate</w:t>
            </w:r>
          </w:p>
        </w:tc>
        <w:tc>
          <w:tcPr>
            <w:tcW w:type="dxa" w:w="4933"/>
            <w:tcMar>
              <w:top w:w="70" w:type="dxa"/>
              <w:start w:w="80" w:type="dxa"/>
              <w:bottom w:w="70" w:type="dxa"/>
              <w:end w:w="80" w:type="dxa"/>
            </w:tcMar>
            <w:vAlign w:val="top"/>
          </w:tcPr>
          <w:p>
            <w:pPr>
              <w:keepLines/>
              <w:spacing w:after="0" w:line="240" w:lineRule="auto"/>
            </w:pPr>
            <w:r>
              <w:rPr>
                <w:b w:val="0"/>
                <w:color w:val="172033"/>
                <w:sz w:val="15"/>
              </w:rPr>
              <w:t>Locally compiled result that does not require a provider and is preserved on provider failure</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Budget envelope</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Proposed capped, explainable parameter produced by policy; not autonomous spending authority</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Content-free event</w:t>
            </w:r>
          </w:p>
        </w:tc>
        <w:tc>
          <w:tcPr>
            <w:tcW w:type="dxa" w:w="4933"/>
            <w:tcMar>
              <w:top w:w="70" w:type="dxa"/>
              <w:start w:w="80" w:type="dxa"/>
              <w:bottom w:w="70" w:type="dxa"/>
              <w:end w:w="80" w:type="dxa"/>
            </w:tcMar>
            <w:vAlign w:val="top"/>
          </w:tcPr>
          <w:p>
            <w:pPr>
              <w:keepLines/>
              <w:spacing w:after="0" w:line="240" w:lineRule="auto"/>
            </w:pPr>
            <w:r>
              <w:rPr>
                <w:b w:val="0"/>
                <w:color w:val="172033"/>
                <w:sz w:val="15"/>
              </w:rPr>
              <w:t>Outcome or control metadata that excludes raw prompt, output, project content, paths, and free text</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Workspace fingerprint</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Checkout-local identifier used to isolate optimizer recovery by workspace</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Scoped reset</w:t>
            </w:r>
          </w:p>
        </w:tc>
        <w:tc>
          <w:tcPr>
            <w:tcW w:type="dxa" w:w="4933"/>
            <w:tcMar>
              <w:top w:w="70" w:type="dxa"/>
              <w:start w:w="80" w:type="dxa"/>
              <w:bottom w:w="70" w:type="dxa"/>
              <w:end w:w="80" w:type="dxa"/>
            </w:tcMar>
            <w:vAlign w:val="top"/>
          </w:tcPr>
          <w:p>
            <w:pPr>
              <w:keepLines/>
              <w:spacing w:after="0" w:line="240" w:lineRule="auto"/>
            </w:pPr>
            <w:r>
              <w:rPr>
                <w:b w:val="0"/>
                <w:color w:val="172033"/>
                <w:sz w:val="15"/>
              </w:rPr>
              <w:t>Reset of optimizer work that retains approved project initialization state and settings</w:t>
            </w:r>
          </w:p>
        </w:tc>
      </w:tr>
      <w:tr>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Fixed executor</w:t>
            </w:r>
          </w:p>
        </w:tc>
        <w:tc>
          <w:tcPr>
            <w:tcW w:type="dxa" w:w="4933"/>
            <w:shd w:fill="F6F8FA"/>
            <w:tcMar>
              <w:top w:w="70" w:type="dxa"/>
              <w:start w:w="80" w:type="dxa"/>
              <w:bottom w:w="70" w:type="dxa"/>
              <w:end w:w="80" w:type="dxa"/>
            </w:tcMar>
            <w:vAlign w:val="top"/>
          </w:tcPr>
          <w:p>
            <w:pPr>
              <w:keepLines/>
              <w:spacing w:after="0" w:line="240" w:lineRule="auto"/>
            </w:pPr>
            <w:r>
              <w:rPr>
                <w:b w:val="0"/>
                <w:color w:val="172033"/>
                <w:sz w:val="15"/>
              </w:rPr>
              <w:t>Frozen evaluation-only model/configuration used for comparative semantic qualification</w:t>
            </w:r>
          </w:p>
        </w:tc>
      </w:tr>
      <w:tr>
        <w:tc>
          <w:tcPr>
            <w:tcW w:type="dxa" w:w="4933"/>
            <w:tcMar>
              <w:top w:w="70" w:type="dxa"/>
              <w:start w:w="80" w:type="dxa"/>
              <w:bottom w:w="70" w:type="dxa"/>
              <w:end w:w="80" w:type="dxa"/>
            </w:tcMar>
            <w:vAlign w:val="top"/>
          </w:tcPr>
          <w:p>
            <w:pPr>
              <w:keepLines/>
              <w:spacing w:after="0" w:line="240" w:lineRule="auto"/>
            </w:pPr>
            <w:r>
              <w:rPr>
                <w:b w:val="0"/>
                <w:color w:val="172033"/>
                <w:sz w:val="15"/>
              </w:rPr>
              <w:t>Exact-tree evidence</w:t>
            </w:r>
          </w:p>
        </w:tc>
        <w:tc>
          <w:tcPr>
            <w:tcW w:type="dxa" w:w="4933"/>
            <w:tcMar>
              <w:top w:w="70" w:type="dxa"/>
              <w:start w:w="80" w:type="dxa"/>
              <w:bottom w:w="70" w:type="dxa"/>
              <w:end w:w="80" w:type="dxa"/>
            </w:tcMar>
            <w:vAlign w:val="top"/>
          </w:tcPr>
          <w:p>
            <w:pPr>
              <w:keepLines/>
              <w:spacing w:after="0" w:line="240" w:lineRule="auto"/>
            </w:pPr>
            <w:r>
              <w:rPr>
                <w:b w:val="0"/>
                <w:color w:val="172033"/>
                <w:sz w:val="15"/>
              </w:rPr>
              <w:t>Results tied to the exact source candidate and artifact under review</w:t>
            </w:r>
          </w:p>
        </w:tc>
      </w:tr>
    </w:tbl>
    <w:p>
      <w:pPr>
        <w:spacing w:after="0"/>
      </w:pPr>
    </w:p>
    <w:p>
      <w:pPr>
        <w:pBdr>
          <w:bottom w:val="single" w:sz="8" w:color="D8DEE7"/>
        </w:pBdr>
      </w:pPr>
    </w:p>
    <w:p>
      <w:r>
        <w:rPr>
          <w:b/>
        </w:rPr>
        <w:t>Prepared as a final documentation brief.</w:t>
      </w:r>
      <w:r>
        <w:rPr>
          <w:b w:val="0"/>
        </w:rPr>
        <w:t xml:space="preserve"> Product claims remain bounded to the evidence identified above. Future extensions require separate design, authorization, implementation, privacy review, and qualification.</w:t>
      </w:r>
    </w:p>
    <w:sectPr w:rsidR="00FC693F" w:rsidRPr="0006063C" w:rsidSect="00034616">
      <w:headerReference w:type="default" r:id="rId9"/>
      <w:footerReference w:type="default" r:id="rId10"/>
      <w:pgSz w:w="11906" w:h="16838"/>
      <w:pgMar w:top="964" w:right="1020" w:bottom="879" w:left="102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DWI TECHNICAL POC REPORT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085"/>
        <w:sz w:val="16"/>
      </w:rPr>
      <w:t>DWI PROMPT OPTIMIZER</w:t>
    </w:r>
    <w:r>
      <w:rPr>
        <w:rFonts w:ascii="Aptos" w:hAnsi="Aptos"/>
        <w:color w:val="667085"/>
        <w:sz w:val="16"/>
      </w:rPr>
      <w:t xml:space="preserve">  |  TECHNICAL POC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8C"/>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8C8C"/>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 Meta"/>
    <w:pPr>
      <w:spacing w:after="80"/>
    </w:pPr>
    <w:rPr>
      <w:rFonts w:ascii="Aptos" w:hAnsi="Aptos"/>
      <w:color w:val="667085"/>
      <w:sz w:val="21"/>
    </w:rPr>
  </w:style>
  <w:style w:type="paragraph" w:customStyle="1" w:styleId="SmallCaption">
    <w:name w:val="Small Caption"/>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DWI Prompt Optimizer — Technical POC, Management Extension, and Governance Report</dc:title>
  <dc:subject>Technical POC evidence and proposed governed management extension</dc:subject>
  <dc:creator>DWI</dc:creator>
  <cp:keywords/>
  <dc:description>Current implementation evidence and proposed future direction are explicitly separated.</dc:description>
  <cp:lastModifiedBy/>
  <cp:revision>1</cp:revision>
  <dcterms:created xsi:type="dcterms:W3CDTF">2013-12-23T23:15:00Z</dcterms:created>
  <dcterms:modified xsi:type="dcterms:W3CDTF">2013-12-23T23:15:00Z</dcterms:modified>
  <cp:category/>
</cp:coreProperties>
</file>