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6D740" w14:textId="77777777" w:rsidR="00AA0634" w:rsidRDefault="00AA0634" w:rsidP="00262F0C">
      <w:pPr>
        <w:pStyle w:val="Heading1"/>
      </w:pPr>
      <w:r>
        <w:t>Server Hardening Policy</w:t>
      </w:r>
    </w:p>
    <w:p w14:paraId="7A9C9B85" w14:textId="2B5A8C59" w:rsidR="003E192C" w:rsidRPr="003E192C" w:rsidRDefault="003E192C" w:rsidP="00262F0C">
      <w:pPr>
        <w:pStyle w:val="Heading2"/>
      </w:pPr>
      <w:r w:rsidRPr="003E192C">
        <w:t>Overview</w:t>
      </w:r>
    </w:p>
    <w:p w14:paraId="65074576" w14:textId="77777777" w:rsidR="000A69EF" w:rsidRPr="002F69C9" w:rsidRDefault="00DA52BB" w:rsidP="00262F0C">
      <w:pPr>
        <w:pStyle w:val="PolicyText1"/>
      </w:pPr>
      <w:r>
        <w:t>Servers in their many forms (file, print, application, web, and database)</w:t>
      </w:r>
      <w:r w:rsidR="000A69EF">
        <w:t xml:space="preserve"> </w:t>
      </w:r>
      <w:proofErr w:type="gramStart"/>
      <w:r w:rsidR="000A69EF">
        <w:t>are used</w:t>
      </w:r>
      <w:proofErr w:type="gramEnd"/>
      <w:r w:rsidR="000A69EF">
        <w:t xml:space="preserve"> by </w:t>
      </w:r>
      <w:r>
        <w:t xml:space="preserve">the organization to supply critical information for </w:t>
      </w:r>
      <w:r w:rsidR="000A69EF">
        <w:t>staff.  These assets must be protected from both s</w:t>
      </w:r>
      <w:r w:rsidR="000A69EF" w:rsidRPr="00493586">
        <w:t xml:space="preserve">ecurity and performance </w:t>
      </w:r>
      <w:r w:rsidR="000A69EF">
        <w:t>related risks</w:t>
      </w:r>
      <w:r w:rsidR="000A69EF" w:rsidRPr="00493586">
        <w:t xml:space="preserve">.  One of the required steps to attain this </w:t>
      </w:r>
      <w:r w:rsidR="000A69EF">
        <w:t>goal</w:t>
      </w:r>
      <w:r w:rsidR="000A69EF" w:rsidRPr="00493586">
        <w:t xml:space="preserve"> is to ensure that </w:t>
      </w:r>
      <w:r w:rsidR="000A69EF">
        <w:t xml:space="preserve">hardware </w:t>
      </w:r>
      <w:r>
        <w:t xml:space="preserve">(whether </w:t>
      </w:r>
      <w:r w:rsidR="00AA0634">
        <w:t>on premise</w:t>
      </w:r>
      <w:r>
        <w:t xml:space="preserve"> or in the cloud) </w:t>
      </w:r>
      <w:proofErr w:type="gramStart"/>
      <w:r w:rsidR="000A69EF">
        <w:t>is</w:t>
      </w:r>
      <w:r w:rsidR="000A69EF" w:rsidRPr="00493586">
        <w:t xml:space="preserve"> installed and maintained in a manner that prevents unauthorized access, unauthorized use, </w:t>
      </w:r>
      <w:r w:rsidR="000A69EF">
        <w:t xml:space="preserve">consistent configuration, </w:t>
      </w:r>
      <w:r w:rsidR="000A69EF" w:rsidRPr="00493586">
        <w:t xml:space="preserve">and </w:t>
      </w:r>
      <w:r w:rsidR="000A69EF">
        <w:t xml:space="preserve">minimal service </w:t>
      </w:r>
      <w:r w:rsidR="000A69EF" w:rsidRPr="00493586">
        <w:t>disruptions</w:t>
      </w:r>
      <w:proofErr w:type="gramEnd"/>
      <w:r w:rsidR="000A69EF" w:rsidRPr="00DD7A74">
        <w:t>.</w:t>
      </w:r>
    </w:p>
    <w:p w14:paraId="63009B5A" w14:textId="37039903" w:rsidR="003E192C" w:rsidRPr="003E192C" w:rsidRDefault="003E192C" w:rsidP="00262F0C">
      <w:pPr>
        <w:pStyle w:val="Heading2"/>
      </w:pPr>
      <w:r w:rsidRPr="003E192C">
        <w:t>Purpose</w:t>
      </w:r>
    </w:p>
    <w:p w14:paraId="2954C395" w14:textId="77777777" w:rsidR="000A69EF" w:rsidRPr="00B302A5" w:rsidRDefault="00D814B3" w:rsidP="00262F0C">
      <w:pPr>
        <w:pStyle w:val="PolicyText1"/>
      </w:pPr>
      <w:r w:rsidRPr="00B302A5">
        <w:t xml:space="preserve">Appropriate measures must be taken when </w:t>
      </w:r>
      <w:r w:rsidR="00DA52BB">
        <w:t>configuring and managing server based resources</w:t>
      </w:r>
      <w:r w:rsidRPr="00B302A5">
        <w:t xml:space="preserve"> to ensure the confidentiality, </w:t>
      </w:r>
      <w:proofErr w:type="gramStart"/>
      <w:r w:rsidRPr="00B302A5">
        <w:t>integrity</w:t>
      </w:r>
      <w:proofErr w:type="gramEnd"/>
      <w:r w:rsidRPr="00B302A5">
        <w:t xml:space="preserve"> and availability of information. T</w:t>
      </w:r>
      <w:r w:rsidR="000A69EF" w:rsidRPr="00B302A5">
        <w:t>his policy provide</w:t>
      </w:r>
      <w:r w:rsidRPr="00B302A5">
        <w:t>s</w:t>
      </w:r>
      <w:r w:rsidR="000A69EF" w:rsidRPr="00B302A5">
        <w:t xml:space="preserve"> </w:t>
      </w:r>
      <w:r w:rsidR="00DA52BB">
        <w:t xml:space="preserve">general </w:t>
      </w:r>
      <w:r w:rsidRPr="00B302A5">
        <w:t>procedure</w:t>
      </w:r>
      <w:r w:rsidR="00B302A5" w:rsidRPr="00B302A5">
        <w:t>s</w:t>
      </w:r>
      <w:r w:rsidRPr="00B302A5">
        <w:t xml:space="preserve"> </w:t>
      </w:r>
      <w:r w:rsidR="000A69EF" w:rsidRPr="00B302A5">
        <w:t xml:space="preserve">and requirements for installing </w:t>
      </w:r>
      <w:proofErr w:type="gramStart"/>
      <w:r w:rsidR="00DA52BB">
        <w:t>server based</w:t>
      </w:r>
      <w:proofErr w:type="gramEnd"/>
      <w:r w:rsidR="00DA52BB">
        <w:t xml:space="preserve"> resources</w:t>
      </w:r>
      <w:r w:rsidR="000A69EF" w:rsidRPr="00B302A5">
        <w:t xml:space="preserve"> in a secure manner </w:t>
      </w:r>
      <w:r w:rsidR="00DA52BB">
        <w:t>as well as</w:t>
      </w:r>
      <w:r w:rsidR="000A69EF" w:rsidRPr="00B302A5">
        <w:t xml:space="preserve"> maintaining the security integrity of the </w:t>
      </w:r>
      <w:r w:rsidRPr="00B302A5">
        <w:t xml:space="preserve">hardware </w:t>
      </w:r>
      <w:r w:rsidR="000A69EF" w:rsidRPr="00B302A5">
        <w:t>and application software.</w:t>
      </w:r>
    </w:p>
    <w:p w14:paraId="33DFF695" w14:textId="77777777" w:rsidR="003E192C" w:rsidRPr="003E192C" w:rsidRDefault="003E192C" w:rsidP="00262F0C">
      <w:pPr>
        <w:pStyle w:val="Heading2"/>
      </w:pPr>
      <w:r w:rsidRPr="003E192C">
        <w:t>III. Scope</w:t>
      </w:r>
    </w:p>
    <w:p w14:paraId="32038899" w14:textId="5FFF8103" w:rsidR="003E192C" w:rsidRPr="003E192C" w:rsidRDefault="00AA0634" w:rsidP="00262F0C">
      <w:pPr>
        <w:pStyle w:val="PolicyText1"/>
      </w:pPr>
      <w:r>
        <w:t xml:space="preserve">This policy applies to all [LEP] </w:t>
      </w:r>
      <w:r w:rsidR="003E192C" w:rsidRPr="003E192C">
        <w:t xml:space="preserve">staff that </w:t>
      </w:r>
      <w:r w:rsidR="000A69EF">
        <w:t>use</w:t>
      </w:r>
      <w:r w:rsidR="003E192C" w:rsidRPr="003E192C">
        <w:t xml:space="preserve">, deploy, or support </w:t>
      </w:r>
      <w:r w:rsidR="0062101F">
        <w:t>[LEP]</w:t>
      </w:r>
      <w:r w:rsidR="00DA52BB">
        <w:t xml:space="preserve"> server</w:t>
      </w:r>
      <w:r w:rsidR="000A69EF">
        <w:t xml:space="preserve"> hardware</w:t>
      </w:r>
      <w:r w:rsidR="00DA52BB">
        <w:t>/virtual resources.</w:t>
      </w:r>
    </w:p>
    <w:p w14:paraId="4C9C2096" w14:textId="77777777" w:rsidR="000A69EF" w:rsidRDefault="003E192C" w:rsidP="00262F0C">
      <w:pPr>
        <w:pStyle w:val="Heading2"/>
      </w:pPr>
      <w:r w:rsidRPr="003E192C">
        <w:t>IV. Policy</w:t>
      </w:r>
    </w:p>
    <w:p w14:paraId="1C9AED84" w14:textId="77777777" w:rsidR="00986354" w:rsidRPr="00986354" w:rsidRDefault="00986354" w:rsidP="00262F0C">
      <w:pPr>
        <w:pStyle w:val="Heading3"/>
      </w:pPr>
      <w:r>
        <w:t>General</w:t>
      </w:r>
    </w:p>
    <w:p w14:paraId="7E969E51" w14:textId="29E6F878" w:rsidR="000A69EF" w:rsidRPr="00493586" w:rsidRDefault="000A69EF" w:rsidP="00262F0C">
      <w:pPr>
        <w:pStyle w:val="PolicyText2"/>
      </w:pPr>
      <w:r>
        <w:t>A</w:t>
      </w:r>
      <w:r w:rsidRPr="00493586">
        <w:t xml:space="preserve"> </w:t>
      </w:r>
      <w:r w:rsidR="006747AA">
        <w:t>server</w:t>
      </w:r>
      <w:r w:rsidRPr="00493586">
        <w:t xml:space="preserve"> </w:t>
      </w:r>
      <w:r w:rsidR="00C35EA5">
        <w:t>h</w:t>
      </w:r>
      <w:r w:rsidRPr="00493586">
        <w:t xml:space="preserve">ardening </w:t>
      </w:r>
      <w:r w:rsidR="00C35EA5">
        <w:t>p</w:t>
      </w:r>
      <w:r w:rsidRPr="00493586">
        <w:t xml:space="preserve">rocedure </w:t>
      </w:r>
      <w:r>
        <w:t xml:space="preserve">shall </w:t>
      </w:r>
      <w:r w:rsidR="00C35EA5">
        <w:t xml:space="preserve">be created and maintained that </w:t>
      </w:r>
      <w:r>
        <w:t>provide</w:t>
      </w:r>
      <w:r w:rsidR="00C35EA5">
        <w:t>s</w:t>
      </w:r>
      <w:r w:rsidRPr="00493586">
        <w:t xml:space="preserve"> detailed i</w:t>
      </w:r>
      <w:r>
        <w:t xml:space="preserve">nformation required to </w:t>
      </w:r>
      <w:r w:rsidR="00C35EA5">
        <w:t xml:space="preserve">configure and </w:t>
      </w:r>
      <w:r>
        <w:t>harden</w:t>
      </w:r>
      <w:r w:rsidR="00AA0634">
        <w:t xml:space="preserve"> [LEP] </w:t>
      </w:r>
      <w:r w:rsidR="006747AA">
        <w:t>servers</w:t>
      </w:r>
      <w:r w:rsidR="00C35EA5">
        <w:t xml:space="preserve"> whether </w:t>
      </w:r>
      <w:r w:rsidR="00AA0634">
        <w:t>on premise</w:t>
      </w:r>
      <w:r w:rsidR="006747AA">
        <w:t xml:space="preserve"> or in the cloud</w:t>
      </w:r>
      <w:r w:rsidRPr="00493586">
        <w:t xml:space="preserve">.  </w:t>
      </w:r>
      <w:r w:rsidR="00C35EA5">
        <w:t>T</w:t>
      </w:r>
      <w:r>
        <w:t xml:space="preserve">he </w:t>
      </w:r>
      <w:r w:rsidR="00986354">
        <w:t>procedure</w:t>
      </w:r>
      <w:r>
        <w:t xml:space="preserve"> shall include:</w:t>
      </w:r>
    </w:p>
    <w:p w14:paraId="7344808F" w14:textId="1CD6E56B" w:rsidR="000A69EF" w:rsidRPr="00493586" w:rsidRDefault="000A69EF" w:rsidP="00262F0C">
      <w:pPr>
        <w:pStyle w:val="PolicyText2"/>
        <w:numPr>
          <w:ilvl w:val="0"/>
          <w:numId w:val="35"/>
        </w:numPr>
      </w:pPr>
      <w:r w:rsidRPr="00493586">
        <w:t>Installing the operating system from an IT approved source</w:t>
      </w:r>
    </w:p>
    <w:p w14:paraId="2604E6F6" w14:textId="7B2BFAD5" w:rsidR="000A69EF" w:rsidRPr="00493586" w:rsidRDefault="000A69EF" w:rsidP="00262F0C">
      <w:pPr>
        <w:pStyle w:val="PolicyText2"/>
        <w:numPr>
          <w:ilvl w:val="0"/>
          <w:numId w:val="35"/>
        </w:numPr>
      </w:pPr>
      <w:r w:rsidRPr="00493586">
        <w:t xml:space="preserve">Applying </w:t>
      </w:r>
      <w:r w:rsidR="00986354">
        <w:t xml:space="preserve">all appropriate </w:t>
      </w:r>
      <w:r w:rsidRPr="00493586">
        <w:t xml:space="preserve">vendor supplied </w:t>
      </w:r>
      <w:r w:rsidR="00986354">
        <w:t xml:space="preserve">security </w:t>
      </w:r>
      <w:r w:rsidRPr="00493586">
        <w:t>patches</w:t>
      </w:r>
      <w:r w:rsidR="00986354">
        <w:t xml:space="preserve"> and firmware updates</w:t>
      </w:r>
    </w:p>
    <w:p w14:paraId="251D2C55" w14:textId="6142A9B9" w:rsidR="000A69EF" w:rsidRPr="00493586" w:rsidRDefault="000A69EF" w:rsidP="00262F0C">
      <w:pPr>
        <w:pStyle w:val="PolicyText2"/>
        <w:numPr>
          <w:ilvl w:val="0"/>
          <w:numId w:val="35"/>
        </w:numPr>
      </w:pPr>
      <w:r w:rsidRPr="00493586">
        <w:t>Removing unnecessary software, system services,</w:t>
      </w:r>
      <w:r w:rsidR="006747AA">
        <w:t xml:space="preserve"> protocols, ports,</w:t>
      </w:r>
      <w:r w:rsidRPr="00493586">
        <w:t xml:space="preserve"> and drivers</w:t>
      </w:r>
    </w:p>
    <w:p w14:paraId="6B3A7EDC" w14:textId="55761139" w:rsidR="00013847" w:rsidRDefault="000A69EF" w:rsidP="00262F0C">
      <w:pPr>
        <w:pStyle w:val="PolicyText2"/>
        <w:numPr>
          <w:ilvl w:val="0"/>
          <w:numId w:val="35"/>
        </w:numPr>
      </w:pPr>
      <w:r w:rsidRPr="00493586">
        <w:t xml:space="preserve">Setting security </w:t>
      </w:r>
      <w:r w:rsidR="00986354">
        <w:t xml:space="preserve">and operational </w:t>
      </w:r>
      <w:r w:rsidRPr="00493586">
        <w:t>parameters</w:t>
      </w:r>
      <w:r>
        <w:t xml:space="preserve"> including </w:t>
      </w:r>
      <w:r w:rsidR="00986354">
        <w:t xml:space="preserve">configuring system services, </w:t>
      </w:r>
      <w:r>
        <w:t>firewall</w:t>
      </w:r>
      <w:r w:rsidR="00986354">
        <w:t>, anti-virus, anti-malware,</w:t>
      </w:r>
      <w:r w:rsidRPr="00493586">
        <w:t xml:space="preserve"> </w:t>
      </w:r>
      <w:r w:rsidR="00986354">
        <w:t xml:space="preserve">and </w:t>
      </w:r>
      <w:r w:rsidR="006747AA">
        <w:t xml:space="preserve">local system </w:t>
      </w:r>
      <w:r w:rsidR="00986354">
        <w:t>passwords</w:t>
      </w:r>
      <w:r w:rsidR="006747AA">
        <w:t>/accounts</w:t>
      </w:r>
    </w:p>
    <w:p w14:paraId="3E21B0CA" w14:textId="2D7F8A94" w:rsidR="000A69EF" w:rsidRDefault="00013847" w:rsidP="00262F0C">
      <w:pPr>
        <w:pStyle w:val="PolicyText2"/>
        <w:numPr>
          <w:ilvl w:val="0"/>
          <w:numId w:val="35"/>
        </w:numPr>
      </w:pPr>
      <w:r>
        <w:t>Enabling appropriate local file system/sharing permissions, audit logging, local/physical security, reporting, and intrusion detection software as applicable</w:t>
      </w:r>
    </w:p>
    <w:p w14:paraId="549DB355" w14:textId="0151B7F8" w:rsidR="00986354" w:rsidRDefault="00986354" w:rsidP="00262F0C">
      <w:pPr>
        <w:pStyle w:val="PolicyText2"/>
        <w:numPr>
          <w:ilvl w:val="0"/>
          <w:numId w:val="35"/>
        </w:numPr>
      </w:pPr>
      <w:r>
        <w:t xml:space="preserve">Applying </w:t>
      </w:r>
      <w:r w:rsidR="00AA0634">
        <w:t xml:space="preserve">[LEP] </w:t>
      </w:r>
      <w:commentRangeStart w:id="0"/>
      <w:r>
        <w:t xml:space="preserve">Domain-based Active Directory </w:t>
      </w:r>
      <w:commentRangeEnd w:id="0"/>
      <w:r w:rsidR="00AA0634">
        <w:rPr>
          <w:rStyle w:val="CommentReference"/>
        </w:rPr>
        <w:commentReference w:id="0"/>
      </w:r>
      <w:r w:rsidR="005F4357">
        <w:t>s</w:t>
      </w:r>
      <w:r w:rsidR="006747AA">
        <w:t xml:space="preserve">erver </w:t>
      </w:r>
      <w:r w:rsidR="005F4357">
        <w:t>b</w:t>
      </w:r>
      <w:r w:rsidR="006747AA">
        <w:t xml:space="preserve">ased </w:t>
      </w:r>
      <w:r w:rsidR="005F4357">
        <w:t>g</w:t>
      </w:r>
      <w:r>
        <w:t xml:space="preserve">roup </w:t>
      </w:r>
      <w:r w:rsidR="005F4357">
        <w:t>p</w:t>
      </w:r>
      <w:r>
        <w:t>olicy</w:t>
      </w:r>
    </w:p>
    <w:p w14:paraId="40F59806" w14:textId="77777777" w:rsidR="00986354" w:rsidRPr="00986354" w:rsidRDefault="00986354" w:rsidP="00262F0C">
      <w:pPr>
        <w:pStyle w:val="Heading3"/>
      </w:pPr>
      <w:r>
        <w:t>Operations and Maintenance</w:t>
      </w:r>
    </w:p>
    <w:p w14:paraId="28D5F759" w14:textId="77777777" w:rsidR="00986354" w:rsidRDefault="00AA0634" w:rsidP="00262F0C">
      <w:pPr>
        <w:pStyle w:val="PolicyText2"/>
      </w:pPr>
      <w:r>
        <w:t xml:space="preserve">[LEP] </w:t>
      </w:r>
      <w:r w:rsidR="006747AA">
        <w:t>server</w:t>
      </w:r>
      <w:r w:rsidR="00986354">
        <w:t xml:space="preserve"> support shall perform the following procedures and processes to ensure hardening compliance after the initial system </w:t>
      </w:r>
      <w:proofErr w:type="gramStart"/>
      <w:r w:rsidR="00986354">
        <w:t>is delivered</w:t>
      </w:r>
      <w:proofErr w:type="gramEnd"/>
      <w:r w:rsidR="00986354">
        <w:t>:</w:t>
      </w:r>
    </w:p>
    <w:p w14:paraId="337ECAA7" w14:textId="71B50CF2" w:rsidR="000A69EF" w:rsidRPr="002534E3" w:rsidRDefault="00986354" w:rsidP="00262F0C">
      <w:pPr>
        <w:pStyle w:val="PolicyText2"/>
        <w:numPr>
          <w:ilvl w:val="0"/>
          <w:numId w:val="36"/>
        </w:numPr>
      </w:pPr>
      <w:r w:rsidRPr="002534E3">
        <w:t>Post-Install operating system, utility</w:t>
      </w:r>
      <w:r w:rsidR="006747AA">
        <w:t>/system service patches (e.g. COM and .NET)</w:t>
      </w:r>
      <w:proofErr w:type="gramStart"/>
      <w:r w:rsidRPr="002534E3">
        <w:t>,</w:t>
      </w:r>
      <w:proofErr w:type="gramEnd"/>
      <w:r w:rsidRPr="002534E3">
        <w:t xml:space="preserve"> </w:t>
      </w:r>
      <w:r w:rsidR="006747AA">
        <w:t xml:space="preserve">database, web, </w:t>
      </w:r>
      <w:r w:rsidRPr="002534E3">
        <w:t xml:space="preserve">and application security patches shall be </w:t>
      </w:r>
      <w:r w:rsidR="002534E3">
        <w:t>pre-</w:t>
      </w:r>
      <w:r w:rsidRPr="002534E3">
        <w:t xml:space="preserve">tested and deployed on a regular basis </w:t>
      </w:r>
      <w:r w:rsidR="000A69EF" w:rsidRPr="002534E3">
        <w:t xml:space="preserve">against </w:t>
      </w:r>
      <w:r w:rsidRPr="002534E3">
        <w:t xml:space="preserve">similar systems </w:t>
      </w:r>
      <w:r w:rsidR="000A69EF" w:rsidRPr="002534E3">
        <w:t xml:space="preserve">before rolling out to </w:t>
      </w:r>
      <w:r w:rsidR="002534E3">
        <w:t xml:space="preserve">the </w:t>
      </w:r>
      <w:r w:rsidR="006747AA">
        <w:t>production environment</w:t>
      </w:r>
      <w:r w:rsidR="000A69EF" w:rsidRPr="002534E3">
        <w:t>.</w:t>
      </w:r>
    </w:p>
    <w:p w14:paraId="223140C9" w14:textId="68F09C9C" w:rsidR="000A69EF" w:rsidRPr="002534E3" w:rsidRDefault="000A69EF" w:rsidP="00262F0C">
      <w:pPr>
        <w:pStyle w:val="PolicyText2"/>
        <w:numPr>
          <w:ilvl w:val="0"/>
          <w:numId w:val="36"/>
        </w:numPr>
      </w:pPr>
      <w:r w:rsidRPr="002534E3">
        <w:lastRenderedPageBreak/>
        <w:t xml:space="preserve">In the case of </w:t>
      </w:r>
      <w:r w:rsidR="00986354" w:rsidRPr="002534E3">
        <w:t xml:space="preserve">custom </w:t>
      </w:r>
      <w:r w:rsidRPr="002534E3">
        <w:t>applications</w:t>
      </w:r>
      <w:r w:rsidR="00986354" w:rsidRPr="002534E3">
        <w:t xml:space="preserve"> or enter</w:t>
      </w:r>
      <w:bookmarkStart w:id="1" w:name="_GoBack"/>
      <w:bookmarkEnd w:id="1"/>
      <w:r w:rsidR="00986354" w:rsidRPr="002534E3">
        <w:t>prise software</w:t>
      </w:r>
      <w:r w:rsidRPr="002534E3">
        <w:t xml:space="preserve">, </w:t>
      </w:r>
      <w:r w:rsidR="00AA0634">
        <w:t xml:space="preserve">[LEP] </w:t>
      </w:r>
      <w:r w:rsidR="006747AA">
        <w:t>server</w:t>
      </w:r>
      <w:r w:rsidR="00986354" w:rsidRPr="002534E3">
        <w:t xml:space="preserve"> support shall take appropriate precautions to ensure patch compatibility prior to install.  Should a patch be incompatible with a specialized software package, </w:t>
      </w:r>
      <w:proofErr w:type="gramStart"/>
      <w:r w:rsidR="00986354" w:rsidRPr="002534E3">
        <w:t>exception</w:t>
      </w:r>
      <w:r w:rsidR="002534E3">
        <w:t>s</w:t>
      </w:r>
      <w:r w:rsidR="00986354" w:rsidRPr="002534E3">
        <w:t xml:space="preserve"> must be</w:t>
      </w:r>
      <w:r w:rsidR="00AA0634">
        <w:t xml:space="preserve"> approved in writing by the [Insert Appropriate Role] </w:t>
      </w:r>
      <w:r w:rsidR="00986354" w:rsidRPr="002534E3">
        <w:t>or their designee</w:t>
      </w:r>
      <w:proofErr w:type="gramEnd"/>
      <w:r w:rsidR="00986354" w:rsidRPr="002534E3">
        <w:t>.</w:t>
      </w:r>
    </w:p>
    <w:p w14:paraId="568F29DF" w14:textId="47A1E062" w:rsidR="006747AA" w:rsidRDefault="000A69EF" w:rsidP="00262F0C">
      <w:pPr>
        <w:pStyle w:val="PolicyText2"/>
        <w:numPr>
          <w:ilvl w:val="0"/>
          <w:numId w:val="36"/>
        </w:numPr>
      </w:pPr>
      <w:r w:rsidRPr="002534E3">
        <w:t>All sensitive</w:t>
      </w:r>
      <w:r w:rsidR="00AA0634">
        <w:t xml:space="preserve"> information</w:t>
      </w:r>
      <w:r w:rsidRPr="002534E3">
        <w:t xml:space="preserve"> shall be encrypted </w:t>
      </w:r>
      <w:r w:rsidR="006747AA">
        <w:t xml:space="preserve">at-rest and in-transit as well as </w:t>
      </w:r>
      <w:r w:rsidRPr="002534E3">
        <w:t>comply</w:t>
      </w:r>
      <w:r w:rsidR="006747AA">
        <w:t>ing with</w:t>
      </w:r>
      <w:r w:rsidRPr="002534E3">
        <w:t xml:space="preserve"> </w:t>
      </w:r>
      <w:r w:rsidR="002534E3" w:rsidRPr="002534E3">
        <w:t xml:space="preserve">the </w:t>
      </w:r>
      <w:r w:rsidR="00AA0634">
        <w:t xml:space="preserve">[LEP] </w:t>
      </w:r>
      <w:commentRangeStart w:id="2"/>
      <w:r w:rsidR="00AA0634">
        <w:t xml:space="preserve">Data </w:t>
      </w:r>
      <w:r w:rsidRPr="002534E3">
        <w:t>Encryption Policy</w:t>
      </w:r>
      <w:commentRangeEnd w:id="2"/>
      <w:r w:rsidR="00AA0634">
        <w:rPr>
          <w:rStyle w:val="CommentReference"/>
        </w:rPr>
        <w:commentReference w:id="2"/>
      </w:r>
      <w:r w:rsidRPr="002534E3">
        <w:t>.</w:t>
      </w:r>
      <w:r w:rsidR="006747AA">
        <w:t xml:space="preserve">  Where appropriate, PKI certificates/key strategies </w:t>
      </w:r>
      <w:proofErr w:type="gramStart"/>
      <w:r w:rsidR="006747AA">
        <w:t>shall be used</w:t>
      </w:r>
      <w:proofErr w:type="gramEnd"/>
      <w:r w:rsidR="006747AA">
        <w:t xml:space="preserve"> to additi</w:t>
      </w:r>
      <w:r w:rsidR="00262F0C">
        <w:t>onally secure web based access.</w:t>
      </w:r>
    </w:p>
    <w:p w14:paraId="4D463B75" w14:textId="77777777" w:rsidR="002534E3" w:rsidRPr="002534E3" w:rsidRDefault="006747AA" w:rsidP="00262F0C">
      <w:pPr>
        <w:pStyle w:val="PolicyText2"/>
        <w:numPr>
          <w:ilvl w:val="0"/>
          <w:numId w:val="36"/>
        </w:numPr>
      </w:pPr>
      <w:r>
        <w:t xml:space="preserve">Periodic audits of server compliance </w:t>
      </w:r>
      <w:proofErr w:type="gramStart"/>
      <w:r>
        <w:t>shall be conducted</w:t>
      </w:r>
      <w:proofErr w:type="gramEnd"/>
      <w:r>
        <w:t xml:space="preserve"> at least annually.  Results </w:t>
      </w:r>
      <w:proofErr w:type="gramStart"/>
      <w:r>
        <w:t>shall be documented</w:t>
      </w:r>
      <w:proofErr w:type="gramEnd"/>
      <w:r>
        <w:t xml:space="preserve"> and any deficiencies corrected. </w:t>
      </w:r>
      <w:r w:rsidR="000A69EF" w:rsidRPr="002534E3">
        <w:t xml:space="preserve">  </w:t>
      </w:r>
    </w:p>
    <w:p w14:paraId="1A63E37A" w14:textId="70394B9C" w:rsidR="003E192C" w:rsidRPr="003E192C" w:rsidRDefault="003E192C" w:rsidP="00262F0C">
      <w:pPr>
        <w:pStyle w:val="Heading2"/>
      </w:pPr>
      <w:r w:rsidRPr="003E192C">
        <w:t>Audit Controls and Management</w:t>
      </w:r>
    </w:p>
    <w:p w14:paraId="051A8F59" w14:textId="77777777" w:rsidR="003E192C" w:rsidRDefault="003E192C" w:rsidP="00262F0C">
      <w:pPr>
        <w:pStyle w:val="PolicyText1"/>
      </w:pPr>
      <w:r w:rsidRPr="003E192C">
        <w:t xml:space="preserve">On-demand documented procedures and evidence of practice should be in place for this operational policy as part of the </w:t>
      </w:r>
      <w:r w:rsidR="00AA0634">
        <w:t xml:space="preserve">[LEP] </w:t>
      </w:r>
      <w:r w:rsidRPr="003E192C">
        <w:t xml:space="preserve">internal </w:t>
      </w:r>
      <w:r w:rsidR="002534E3">
        <w:t>processes and procedures</w:t>
      </w:r>
      <w:r w:rsidRPr="003E192C">
        <w:t>.</w:t>
      </w:r>
      <w:r w:rsidR="002534E3">
        <w:t xml:space="preserve">  Examples of appropriate controls and documentation are:</w:t>
      </w:r>
    </w:p>
    <w:p w14:paraId="66F9FC82" w14:textId="370B507A" w:rsidR="002534E3" w:rsidRPr="002534E3" w:rsidRDefault="002534E3" w:rsidP="00262F0C">
      <w:pPr>
        <w:pStyle w:val="PolicyText1"/>
        <w:numPr>
          <w:ilvl w:val="0"/>
          <w:numId w:val="37"/>
        </w:numPr>
      </w:pPr>
      <w:r w:rsidRPr="002534E3">
        <w:t xml:space="preserve">Documented </w:t>
      </w:r>
      <w:r w:rsidR="006747AA">
        <w:t>server</w:t>
      </w:r>
      <w:r w:rsidRPr="002534E3">
        <w:t xml:space="preserve"> build processes and images</w:t>
      </w:r>
    </w:p>
    <w:p w14:paraId="1F58E364" w14:textId="481B38AE" w:rsidR="002534E3" w:rsidRPr="002534E3" w:rsidRDefault="002534E3" w:rsidP="00262F0C">
      <w:pPr>
        <w:pStyle w:val="PolicyText1"/>
        <w:numPr>
          <w:ilvl w:val="0"/>
          <w:numId w:val="37"/>
        </w:numPr>
      </w:pPr>
      <w:r w:rsidRPr="002534E3">
        <w:t>Internal configuration and asset management protocols and procedures</w:t>
      </w:r>
    </w:p>
    <w:p w14:paraId="301836D7" w14:textId="575A40C7" w:rsidR="002534E3" w:rsidRPr="002534E3" w:rsidRDefault="002534E3" w:rsidP="00262F0C">
      <w:pPr>
        <w:pStyle w:val="PolicyText1"/>
        <w:numPr>
          <w:ilvl w:val="0"/>
          <w:numId w:val="37"/>
        </w:numPr>
      </w:pPr>
      <w:r w:rsidRPr="002534E3">
        <w:t xml:space="preserve">Patch logs containing </w:t>
      </w:r>
      <w:r w:rsidR="006747AA">
        <w:t>server</w:t>
      </w:r>
      <w:r w:rsidRPr="002534E3">
        <w:t xml:space="preserve"> name, patch installed, </w:t>
      </w:r>
      <w:r w:rsidR="006747AA">
        <w:t xml:space="preserve">service installed </w:t>
      </w:r>
      <w:r w:rsidRPr="002534E3">
        <w:t>and date</w:t>
      </w:r>
    </w:p>
    <w:p w14:paraId="2BFCA2D5" w14:textId="3C73FCC4" w:rsidR="002534E3" w:rsidRDefault="002534E3" w:rsidP="00262F0C">
      <w:pPr>
        <w:pStyle w:val="PolicyText1"/>
        <w:numPr>
          <w:ilvl w:val="0"/>
          <w:numId w:val="37"/>
        </w:numPr>
      </w:pPr>
      <w:r w:rsidRPr="002534E3">
        <w:t>GPO documentation showing hardening and security measures employed across the enterprise</w:t>
      </w:r>
    </w:p>
    <w:p w14:paraId="15FF9F39" w14:textId="48B4C950" w:rsidR="002534E3" w:rsidRPr="00FF57F7" w:rsidRDefault="006747AA" w:rsidP="00262F0C">
      <w:pPr>
        <w:pStyle w:val="PolicyText1"/>
        <w:numPr>
          <w:ilvl w:val="0"/>
          <w:numId w:val="37"/>
        </w:numPr>
      </w:pPr>
      <w:r w:rsidRPr="00FF57F7">
        <w:t>Archival audit documentation with results and remedies taken to address security concerns</w:t>
      </w:r>
    </w:p>
    <w:p w14:paraId="0A8BF905" w14:textId="332B3309" w:rsidR="003E192C" w:rsidRPr="003E192C" w:rsidRDefault="003E192C" w:rsidP="00262F0C">
      <w:pPr>
        <w:pStyle w:val="Heading2"/>
      </w:pPr>
      <w:r w:rsidRPr="003E192C">
        <w:t xml:space="preserve">Enforcement  </w:t>
      </w:r>
    </w:p>
    <w:p w14:paraId="36DCE7D8" w14:textId="77777777" w:rsidR="003E192C" w:rsidRPr="003E192C" w:rsidRDefault="003E192C" w:rsidP="00262F0C">
      <w:pPr>
        <w:pStyle w:val="PolicyText1"/>
      </w:pPr>
      <w:r w:rsidRPr="003E192C">
        <w:t>Staff members found in policy violation may be subject to disciplinary action, up to and including termination.</w:t>
      </w:r>
    </w:p>
    <w:p w14:paraId="53B717B1" w14:textId="66FD8F11" w:rsidR="003E192C" w:rsidRPr="003E192C" w:rsidRDefault="002534E3" w:rsidP="00262F0C">
      <w:pPr>
        <w:pStyle w:val="Heading2"/>
      </w:pPr>
      <w:r>
        <w:t>Distribution</w:t>
      </w:r>
    </w:p>
    <w:p w14:paraId="3214D36B" w14:textId="77777777" w:rsidR="003E192C" w:rsidRPr="003E192C" w:rsidRDefault="003E192C" w:rsidP="00262F0C">
      <w:pPr>
        <w:pStyle w:val="PolicyText1"/>
      </w:pPr>
      <w:r w:rsidRPr="003E192C">
        <w:t xml:space="preserve">This policy is to </w:t>
      </w:r>
      <w:proofErr w:type="gramStart"/>
      <w:r w:rsidRPr="003E192C">
        <w:t>be distributed</w:t>
      </w:r>
      <w:proofErr w:type="gramEnd"/>
      <w:r w:rsidRPr="003E192C">
        <w:t xml:space="preserve"> to all </w:t>
      </w:r>
      <w:r w:rsidR="00AA0634">
        <w:t xml:space="preserve">[LEP] </w:t>
      </w:r>
      <w:r w:rsidR="002534E3">
        <w:t>staff using, supporting, and configuring desktop workstations</w:t>
      </w:r>
      <w:r w:rsidRPr="003E192C">
        <w:t>.</w:t>
      </w:r>
    </w:p>
    <w:p w14:paraId="63FF7BD9" w14:textId="77777777" w:rsidR="003E192C" w:rsidRPr="003E192C" w:rsidRDefault="003E192C" w:rsidP="00262F0C">
      <w:pPr>
        <w:pStyle w:val="Heading2"/>
      </w:pPr>
      <w:r w:rsidRPr="003E192C">
        <w:t>Policy Version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3E192C" w:rsidRPr="003E192C" w14:paraId="17DDC0CF" w14:textId="77777777" w:rsidTr="00986354">
        <w:tc>
          <w:tcPr>
            <w:tcW w:w="1137" w:type="dxa"/>
            <w:shd w:val="clear" w:color="auto" w:fill="C0C0C0"/>
          </w:tcPr>
          <w:p w14:paraId="5B3F14B7" w14:textId="77777777" w:rsidR="003E192C" w:rsidRPr="003E192C" w:rsidRDefault="003E192C" w:rsidP="00262F0C">
            <w:pPr>
              <w:pStyle w:val="PolicyText1"/>
            </w:pPr>
            <w:r w:rsidRPr="003E192C">
              <w:t>Version</w:t>
            </w:r>
          </w:p>
        </w:tc>
        <w:tc>
          <w:tcPr>
            <w:tcW w:w="1401" w:type="dxa"/>
            <w:shd w:val="clear" w:color="auto" w:fill="C0C0C0"/>
          </w:tcPr>
          <w:p w14:paraId="1E0A8501" w14:textId="77777777" w:rsidR="003E192C" w:rsidRPr="003E192C" w:rsidRDefault="003E192C" w:rsidP="00262F0C">
            <w:pPr>
              <w:pStyle w:val="PolicyText1"/>
            </w:pPr>
            <w:r w:rsidRPr="003E192C">
              <w:t>Date</w:t>
            </w:r>
          </w:p>
        </w:tc>
        <w:tc>
          <w:tcPr>
            <w:tcW w:w="4104" w:type="dxa"/>
            <w:shd w:val="clear" w:color="auto" w:fill="C0C0C0"/>
          </w:tcPr>
          <w:p w14:paraId="149D26A5" w14:textId="77777777" w:rsidR="003E192C" w:rsidRPr="003E192C" w:rsidRDefault="003E192C" w:rsidP="00262F0C">
            <w:pPr>
              <w:pStyle w:val="PolicyText1"/>
            </w:pPr>
            <w:r w:rsidRPr="003E192C"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6BE05304" w14:textId="77777777" w:rsidR="003E192C" w:rsidRPr="003E192C" w:rsidRDefault="003E192C" w:rsidP="00262F0C">
            <w:pPr>
              <w:pStyle w:val="PolicyText1"/>
            </w:pPr>
            <w:r w:rsidRPr="003E192C">
              <w:t>Approved By</w:t>
            </w:r>
          </w:p>
        </w:tc>
      </w:tr>
      <w:tr w:rsidR="003E192C" w:rsidRPr="003E192C" w14:paraId="00C00DB9" w14:textId="77777777" w:rsidTr="00986354">
        <w:tc>
          <w:tcPr>
            <w:tcW w:w="1137" w:type="dxa"/>
            <w:shd w:val="clear" w:color="auto" w:fill="auto"/>
          </w:tcPr>
          <w:p w14:paraId="313A7E85" w14:textId="77777777" w:rsidR="003E192C" w:rsidRPr="003E192C" w:rsidRDefault="003E192C" w:rsidP="00262F0C">
            <w:pPr>
              <w:pStyle w:val="PolicyText1"/>
            </w:pPr>
            <w:r w:rsidRPr="003E192C">
              <w:t>1.0</w:t>
            </w:r>
          </w:p>
        </w:tc>
        <w:tc>
          <w:tcPr>
            <w:tcW w:w="1401" w:type="dxa"/>
            <w:shd w:val="clear" w:color="auto" w:fill="auto"/>
          </w:tcPr>
          <w:p w14:paraId="2C148C6F" w14:textId="77777777" w:rsidR="003E192C" w:rsidRPr="003E192C" w:rsidRDefault="006747AA" w:rsidP="00262F0C">
            <w:pPr>
              <w:pStyle w:val="PolicyText1"/>
            </w:pPr>
            <w:r>
              <w:t>11/16</w:t>
            </w:r>
            <w:r w:rsidR="003E192C" w:rsidRPr="003E192C">
              <w:t>/2016</w:t>
            </w:r>
          </w:p>
        </w:tc>
        <w:tc>
          <w:tcPr>
            <w:tcW w:w="4104" w:type="dxa"/>
            <w:shd w:val="clear" w:color="auto" w:fill="auto"/>
          </w:tcPr>
          <w:p w14:paraId="2B5C492E" w14:textId="77777777" w:rsidR="003E192C" w:rsidRPr="003E192C" w:rsidRDefault="003E192C" w:rsidP="00262F0C">
            <w:pPr>
              <w:pStyle w:val="PolicyText1"/>
            </w:pPr>
            <w:r w:rsidRPr="003E192C">
              <w:t>Initial Policy Drafted</w:t>
            </w:r>
          </w:p>
        </w:tc>
        <w:tc>
          <w:tcPr>
            <w:tcW w:w="2214" w:type="dxa"/>
            <w:shd w:val="clear" w:color="auto" w:fill="auto"/>
          </w:tcPr>
          <w:p w14:paraId="0E702ECC" w14:textId="77777777" w:rsidR="003E192C" w:rsidRPr="003E192C" w:rsidRDefault="003E192C" w:rsidP="00262F0C">
            <w:pPr>
              <w:pStyle w:val="PolicyText1"/>
            </w:pPr>
          </w:p>
        </w:tc>
      </w:tr>
      <w:tr w:rsidR="003E192C" w:rsidRPr="003E192C" w14:paraId="7A8E8F80" w14:textId="77777777" w:rsidTr="00986354">
        <w:tc>
          <w:tcPr>
            <w:tcW w:w="1137" w:type="dxa"/>
            <w:shd w:val="clear" w:color="auto" w:fill="auto"/>
          </w:tcPr>
          <w:p w14:paraId="62DB1BDE" w14:textId="77777777" w:rsidR="003E192C" w:rsidRPr="003E192C" w:rsidRDefault="003E192C" w:rsidP="00262F0C">
            <w:pPr>
              <w:pStyle w:val="PolicyText1"/>
            </w:pPr>
          </w:p>
        </w:tc>
        <w:tc>
          <w:tcPr>
            <w:tcW w:w="1401" w:type="dxa"/>
            <w:shd w:val="clear" w:color="auto" w:fill="auto"/>
          </w:tcPr>
          <w:p w14:paraId="0AC8ED31" w14:textId="77777777" w:rsidR="003E192C" w:rsidRPr="003E192C" w:rsidRDefault="003E192C" w:rsidP="00262F0C">
            <w:pPr>
              <w:pStyle w:val="PolicyText1"/>
            </w:pPr>
          </w:p>
        </w:tc>
        <w:tc>
          <w:tcPr>
            <w:tcW w:w="4104" w:type="dxa"/>
            <w:shd w:val="clear" w:color="auto" w:fill="auto"/>
          </w:tcPr>
          <w:p w14:paraId="59403210" w14:textId="77777777" w:rsidR="003E192C" w:rsidRPr="003E192C" w:rsidRDefault="003E192C" w:rsidP="00262F0C">
            <w:pPr>
              <w:pStyle w:val="PolicyText1"/>
            </w:pPr>
          </w:p>
        </w:tc>
        <w:tc>
          <w:tcPr>
            <w:tcW w:w="2214" w:type="dxa"/>
            <w:shd w:val="clear" w:color="auto" w:fill="auto"/>
          </w:tcPr>
          <w:p w14:paraId="0ECD71AC" w14:textId="77777777" w:rsidR="003E192C" w:rsidRPr="003E192C" w:rsidRDefault="003E192C" w:rsidP="00262F0C">
            <w:pPr>
              <w:pStyle w:val="PolicyText1"/>
            </w:pPr>
          </w:p>
        </w:tc>
      </w:tr>
      <w:tr w:rsidR="003E192C" w:rsidRPr="003E192C" w14:paraId="6D295A14" w14:textId="77777777" w:rsidTr="00986354">
        <w:tc>
          <w:tcPr>
            <w:tcW w:w="1137" w:type="dxa"/>
            <w:shd w:val="clear" w:color="auto" w:fill="auto"/>
          </w:tcPr>
          <w:p w14:paraId="4A240E4C" w14:textId="77777777" w:rsidR="003E192C" w:rsidRPr="003E192C" w:rsidRDefault="003E192C" w:rsidP="00262F0C">
            <w:pPr>
              <w:pStyle w:val="PolicyText1"/>
            </w:pPr>
          </w:p>
        </w:tc>
        <w:tc>
          <w:tcPr>
            <w:tcW w:w="1401" w:type="dxa"/>
            <w:shd w:val="clear" w:color="auto" w:fill="auto"/>
          </w:tcPr>
          <w:p w14:paraId="6445498E" w14:textId="77777777" w:rsidR="003E192C" w:rsidRPr="003E192C" w:rsidRDefault="003E192C" w:rsidP="00262F0C">
            <w:pPr>
              <w:pStyle w:val="PolicyText1"/>
            </w:pPr>
          </w:p>
        </w:tc>
        <w:tc>
          <w:tcPr>
            <w:tcW w:w="4104" w:type="dxa"/>
            <w:shd w:val="clear" w:color="auto" w:fill="auto"/>
          </w:tcPr>
          <w:p w14:paraId="5123C585" w14:textId="77777777" w:rsidR="003E192C" w:rsidRPr="003E192C" w:rsidRDefault="003E192C" w:rsidP="00262F0C">
            <w:pPr>
              <w:pStyle w:val="PolicyText1"/>
            </w:pPr>
          </w:p>
        </w:tc>
        <w:tc>
          <w:tcPr>
            <w:tcW w:w="2214" w:type="dxa"/>
            <w:shd w:val="clear" w:color="auto" w:fill="auto"/>
          </w:tcPr>
          <w:p w14:paraId="645D5F99" w14:textId="77777777" w:rsidR="003E192C" w:rsidRPr="003E192C" w:rsidRDefault="003E192C" w:rsidP="00262F0C">
            <w:pPr>
              <w:pStyle w:val="PolicyText1"/>
            </w:pPr>
          </w:p>
        </w:tc>
      </w:tr>
    </w:tbl>
    <w:p w14:paraId="7E2948BE" w14:textId="77777777" w:rsidR="003E192C" w:rsidRPr="003E192C" w:rsidRDefault="003E192C" w:rsidP="003E192C">
      <w:pPr>
        <w:rPr>
          <w:rFonts w:ascii="Arial" w:hAnsi="Arial" w:cs="Arial"/>
        </w:rPr>
      </w:pPr>
    </w:p>
    <w:p w14:paraId="10D89218" w14:textId="77777777" w:rsidR="003E192C" w:rsidRPr="003E192C" w:rsidRDefault="003E192C" w:rsidP="003E192C"/>
    <w:p w14:paraId="5F6959F0" w14:textId="77777777" w:rsidR="00A755FE" w:rsidRDefault="00A755FE" w:rsidP="00AF3C6F"/>
    <w:sectPr w:rsidR="00A755F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acey, Jill" w:date="2017-02-18T17:08:00Z" w:initials="SJ">
    <w:p w14:paraId="63DFA747" w14:textId="77777777" w:rsidR="00AA0634" w:rsidRDefault="00AA0634">
      <w:pPr>
        <w:pStyle w:val="CommentText"/>
      </w:pPr>
      <w:r>
        <w:rPr>
          <w:rStyle w:val="CommentReference"/>
        </w:rPr>
        <w:annotationRef/>
      </w:r>
      <w:r>
        <w:t>Guidance Note: Update with applicable server.</w:t>
      </w:r>
    </w:p>
  </w:comment>
  <w:comment w:id="2" w:author="Stacey, Jill" w:date="2017-02-18T17:09:00Z" w:initials="SJ">
    <w:p w14:paraId="1621428F" w14:textId="77777777" w:rsidR="00AA0634" w:rsidRDefault="00AA0634">
      <w:pPr>
        <w:pStyle w:val="CommentText"/>
      </w:pPr>
      <w:r>
        <w:rPr>
          <w:rStyle w:val="CommentReference"/>
        </w:rPr>
        <w:annotationRef/>
      </w:r>
      <w:r>
        <w:t>Guidance Note: Update to appropriate policy if needed.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DFA747" w15:done="0"/>
  <w15:commentEx w15:paraId="162142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E80A4" w14:textId="77777777" w:rsidR="00203D7B" w:rsidRDefault="00203D7B" w:rsidP="00333141">
      <w:pPr>
        <w:spacing w:after="0" w:line="240" w:lineRule="auto"/>
      </w:pPr>
      <w:r>
        <w:separator/>
      </w:r>
    </w:p>
  </w:endnote>
  <w:endnote w:type="continuationSeparator" w:id="0">
    <w:p w14:paraId="71E4F4A2" w14:textId="77777777" w:rsidR="00203D7B" w:rsidRDefault="00203D7B" w:rsidP="0033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610E6" w14:textId="6CB94FEE" w:rsidR="00986354" w:rsidRPr="00333141" w:rsidRDefault="00AA0634" w:rsidP="00333141">
    <w:pPr>
      <w:pStyle w:val="Footer"/>
    </w:pPr>
    <w:r>
      <w:tab/>
    </w:r>
    <w:r>
      <w:tab/>
    </w:r>
    <w:r w:rsidR="00262F0C">
      <w:t xml:space="preserve">Sample </w:t>
    </w:r>
    <w:r w:rsidR="00986354">
      <w:t>IT Security Policies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A8F5D" w14:textId="77777777" w:rsidR="00203D7B" w:rsidRDefault="00203D7B" w:rsidP="00333141">
      <w:pPr>
        <w:spacing w:after="0" w:line="240" w:lineRule="auto"/>
      </w:pPr>
      <w:r>
        <w:separator/>
      </w:r>
    </w:p>
  </w:footnote>
  <w:footnote w:type="continuationSeparator" w:id="0">
    <w:p w14:paraId="67AC9F9C" w14:textId="77777777" w:rsidR="00203D7B" w:rsidRDefault="00203D7B" w:rsidP="0033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5A891" w14:textId="36ECB7BA" w:rsidR="00BF1BEE" w:rsidRDefault="00203D7B">
    <w:pPr>
      <w:pStyle w:val="Header"/>
    </w:pPr>
    <w:r>
      <w:rPr>
        <w:noProof/>
      </w:rPr>
      <w:pict w14:anchorId="5C39F8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19090" o:spid="_x0000_s2050" type="#_x0000_t136" style="position:absolute;margin-left:0;margin-top:0;width:461.9pt;height:197.95pt;rotation:315;z-index:-2516418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19" w:type="pct"/>
      <w:tblBorders>
        <w:bottom w:val="single" w:sz="4" w:space="0" w:color="auto"/>
        <w:insideH w:val="single" w:sz="4" w:space="0" w:color="BFBFBF"/>
        <w:insideV w:val="single" w:sz="4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010"/>
      <w:gridCol w:w="573"/>
    </w:tblGrid>
    <w:tr w:rsidR="00986354" w:rsidRPr="0025191F" w14:paraId="77566D16" w14:textId="77777777" w:rsidTr="0062101F">
      <w:tc>
        <w:tcPr>
          <w:tcW w:w="4701" w:type="pct"/>
        </w:tcPr>
        <w:p w14:paraId="53650768" w14:textId="77777777" w:rsidR="00986354" w:rsidRPr="0030192B" w:rsidRDefault="00203D7B" w:rsidP="00DA52BB">
          <w:pPr>
            <w:pStyle w:val="NoSpacing"/>
            <w:jc w:val="right"/>
            <w:rPr>
              <w:rFonts w:eastAsia="Cambria"/>
              <w:color w:val="984806" w:themeColor="accent6" w:themeShade="80"/>
            </w:rPr>
          </w:pPr>
          <w:sdt>
            <w:sdtPr>
              <w:alias w:val="Title"/>
              <w:id w:val="139940146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A52BB">
                <w:t xml:space="preserve">Server </w:t>
              </w:r>
              <w:r w:rsidR="00986354">
                <w:t>Hardening</w:t>
              </w:r>
              <w:r w:rsidR="00AA0634">
                <w:t xml:space="preserve"> Policy</w:t>
              </w:r>
            </w:sdtContent>
          </w:sdt>
        </w:p>
      </w:tc>
      <w:tc>
        <w:tcPr>
          <w:tcW w:w="299" w:type="pct"/>
        </w:tcPr>
        <w:p w14:paraId="65DA009D" w14:textId="77777777" w:rsidR="00986354" w:rsidRPr="0030192B" w:rsidRDefault="00986354" w:rsidP="00986354">
          <w:pPr>
            <w:ind w:right="-360"/>
            <w:rPr>
              <w:rFonts w:eastAsia="Cambria"/>
              <w:b/>
              <w:color w:val="984806" w:themeColor="accent6" w:themeShade="80"/>
              <w:szCs w:val="20"/>
            </w:rPr>
          </w:pPr>
          <w:r w:rsidRPr="00CF122E">
            <w:rPr>
              <w:b/>
              <w:color w:val="595959" w:themeColor="text1" w:themeTint="A6"/>
              <w:szCs w:val="20"/>
            </w:rPr>
            <w:fldChar w:fldCharType="begin"/>
          </w:r>
          <w:r w:rsidRPr="00CF122E">
            <w:rPr>
              <w:b/>
              <w:color w:val="595959" w:themeColor="text1" w:themeTint="A6"/>
              <w:szCs w:val="20"/>
            </w:rPr>
            <w:instrText xml:space="preserve"> PAGE   \* MERGEFORMAT </w:instrText>
          </w:r>
          <w:r w:rsidRPr="00CF122E">
            <w:rPr>
              <w:b/>
              <w:color w:val="595959" w:themeColor="text1" w:themeTint="A6"/>
              <w:szCs w:val="20"/>
            </w:rPr>
            <w:fldChar w:fldCharType="separate"/>
          </w:r>
          <w:r w:rsidR="0062101F">
            <w:rPr>
              <w:b/>
              <w:noProof/>
              <w:color w:val="595959" w:themeColor="text1" w:themeTint="A6"/>
              <w:szCs w:val="20"/>
            </w:rPr>
            <w:t>2</w:t>
          </w:r>
          <w:r w:rsidRPr="00CF122E">
            <w:rPr>
              <w:b/>
              <w:color w:val="595959" w:themeColor="text1" w:themeTint="A6"/>
              <w:szCs w:val="20"/>
            </w:rPr>
            <w:fldChar w:fldCharType="end"/>
          </w:r>
        </w:p>
      </w:tc>
    </w:tr>
  </w:tbl>
  <w:p w14:paraId="49A3CDF7" w14:textId="5A9BE14C" w:rsidR="00986354" w:rsidRDefault="00203D7B">
    <w:pPr>
      <w:pStyle w:val="Header"/>
    </w:pPr>
    <w:r>
      <w:rPr>
        <w:noProof/>
      </w:rPr>
      <w:pict w14:anchorId="656F9F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19091" o:spid="_x0000_s2051" type="#_x0000_t136" style="position:absolute;margin-left:0;margin-top:0;width:461.9pt;height:197.95pt;rotation:315;z-index:-25163980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60D12" w14:textId="5659FCDD" w:rsidR="00BF1BEE" w:rsidRDefault="00203D7B">
    <w:pPr>
      <w:pStyle w:val="Header"/>
    </w:pPr>
    <w:r>
      <w:rPr>
        <w:noProof/>
      </w:rPr>
      <w:pict w14:anchorId="76091A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19089" o:spid="_x0000_s2049" type="#_x0000_t136" style="position:absolute;margin-left:0;margin-top:0;width:461.9pt;height:197.95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A07"/>
    <w:multiLevelType w:val="hybridMultilevel"/>
    <w:tmpl w:val="5A64488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2AC0012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3470"/>
    <w:multiLevelType w:val="hybridMultilevel"/>
    <w:tmpl w:val="F286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F28FE"/>
    <w:multiLevelType w:val="hybridMultilevel"/>
    <w:tmpl w:val="AD425D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C1355"/>
    <w:multiLevelType w:val="hybridMultilevel"/>
    <w:tmpl w:val="B4B6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94F3A"/>
    <w:multiLevelType w:val="multilevel"/>
    <w:tmpl w:val="5E8A2E2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1372567"/>
    <w:multiLevelType w:val="hybridMultilevel"/>
    <w:tmpl w:val="1C26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560C2"/>
    <w:multiLevelType w:val="multilevel"/>
    <w:tmpl w:val="8CC8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E17AD8"/>
    <w:multiLevelType w:val="hybridMultilevel"/>
    <w:tmpl w:val="2B46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57281"/>
    <w:multiLevelType w:val="hybridMultilevel"/>
    <w:tmpl w:val="F6A82DA2"/>
    <w:lvl w:ilvl="0" w:tplc="2118D93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A343D"/>
    <w:multiLevelType w:val="hybridMultilevel"/>
    <w:tmpl w:val="D9FE972A"/>
    <w:lvl w:ilvl="0" w:tplc="2CA40FD2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B6D1A"/>
    <w:multiLevelType w:val="hybridMultilevel"/>
    <w:tmpl w:val="B532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05C28"/>
    <w:multiLevelType w:val="hybridMultilevel"/>
    <w:tmpl w:val="833E5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0C2C71"/>
    <w:multiLevelType w:val="hybridMultilevel"/>
    <w:tmpl w:val="4D90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0524A"/>
    <w:multiLevelType w:val="hybridMultilevel"/>
    <w:tmpl w:val="6EC4A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8C1ED8"/>
    <w:multiLevelType w:val="hybridMultilevel"/>
    <w:tmpl w:val="6624C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C1491"/>
    <w:multiLevelType w:val="hybridMultilevel"/>
    <w:tmpl w:val="6768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D15D1"/>
    <w:multiLevelType w:val="hybridMultilevel"/>
    <w:tmpl w:val="72F4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C7B6E"/>
    <w:multiLevelType w:val="hybridMultilevel"/>
    <w:tmpl w:val="1286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503ED"/>
    <w:multiLevelType w:val="hybridMultilevel"/>
    <w:tmpl w:val="8094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6671B"/>
    <w:multiLevelType w:val="hybridMultilevel"/>
    <w:tmpl w:val="89947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E123BF"/>
    <w:multiLevelType w:val="hybridMultilevel"/>
    <w:tmpl w:val="3400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627"/>
    <w:multiLevelType w:val="hybridMultilevel"/>
    <w:tmpl w:val="8834C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576129"/>
    <w:multiLevelType w:val="hybridMultilevel"/>
    <w:tmpl w:val="40707ECC"/>
    <w:lvl w:ilvl="0" w:tplc="CB426200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21380"/>
    <w:multiLevelType w:val="hybridMultilevel"/>
    <w:tmpl w:val="B92E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A19AD"/>
    <w:multiLevelType w:val="hybridMultilevel"/>
    <w:tmpl w:val="6E50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D49A2"/>
    <w:multiLevelType w:val="hybridMultilevel"/>
    <w:tmpl w:val="1D523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BE30E3"/>
    <w:multiLevelType w:val="hybridMultilevel"/>
    <w:tmpl w:val="41689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4A76C0"/>
    <w:multiLevelType w:val="hybridMultilevel"/>
    <w:tmpl w:val="CC685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6D0E5B"/>
    <w:multiLevelType w:val="hybridMultilevel"/>
    <w:tmpl w:val="E6B8B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5F4406"/>
    <w:multiLevelType w:val="hybridMultilevel"/>
    <w:tmpl w:val="4BC2C6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32423"/>
    <w:multiLevelType w:val="hybridMultilevel"/>
    <w:tmpl w:val="C88A0BB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0F13C9"/>
    <w:multiLevelType w:val="hybridMultilevel"/>
    <w:tmpl w:val="9856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B16F0"/>
    <w:multiLevelType w:val="hybridMultilevel"/>
    <w:tmpl w:val="6ECC2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3D3DDA"/>
    <w:multiLevelType w:val="hybridMultilevel"/>
    <w:tmpl w:val="300E1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CC69D9"/>
    <w:multiLevelType w:val="hybridMultilevel"/>
    <w:tmpl w:val="DFC64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596D24"/>
    <w:multiLevelType w:val="hybridMultilevel"/>
    <w:tmpl w:val="A7B4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9497C"/>
    <w:multiLevelType w:val="hybridMultilevel"/>
    <w:tmpl w:val="9B605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B102B0"/>
    <w:multiLevelType w:val="hybridMultilevel"/>
    <w:tmpl w:val="84B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14"/>
  </w:num>
  <w:num w:numId="4">
    <w:abstractNumId w:val="30"/>
  </w:num>
  <w:num w:numId="5">
    <w:abstractNumId w:val="7"/>
  </w:num>
  <w:num w:numId="6">
    <w:abstractNumId w:val="23"/>
  </w:num>
  <w:num w:numId="7">
    <w:abstractNumId w:val="5"/>
  </w:num>
  <w:num w:numId="8">
    <w:abstractNumId w:val="17"/>
  </w:num>
  <w:num w:numId="9">
    <w:abstractNumId w:val="15"/>
  </w:num>
  <w:num w:numId="10">
    <w:abstractNumId w:val="12"/>
  </w:num>
  <w:num w:numId="11">
    <w:abstractNumId w:val="20"/>
  </w:num>
  <w:num w:numId="12">
    <w:abstractNumId w:val="37"/>
  </w:num>
  <w:num w:numId="13">
    <w:abstractNumId w:val="31"/>
  </w:num>
  <w:num w:numId="14">
    <w:abstractNumId w:val="10"/>
  </w:num>
  <w:num w:numId="15">
    <w:abstractNumId w:val="18"/>
  </w:num>
  <w:num w:numId="16">
    <w:abstractNumId w:val="24"/>
  </w:num>
  <w:num w:numId="17">
    <w:abstractNumId w:val="35"/>
  </w:num>
  <w:num w:numId="18">
    <w:abstractNumId w:val="13"/>
  </w:num>
  <w:num w:numId="19">
    <w:abstractNumId w:val="2"/>
  </w:num>
  <w:num w:numId="20">
    <w:abstractNumId w:val="8"/>
  </w:num>
  <w:num w:numId="21">
    <w:abstractNumId w:val="22"/>
  </w:num>
  <w:num w:numId="22">
    <w:abstractNumId w:val="27"/>
  </w:num>
  <w:num w:numId="23">
    <w:abstractNumId w:val="25"/>
  </w:num>
  <w:num w:numId="24">
    <w:abstractNumId w:val="28"/>
  </w:num>
  <w:num w:numId="25">
    <w:abstractNumId w:val="3"/>
  </w:num>
  <w:num w:numId="26">
    <w:abstractNumId w:val="21"/>
  </w:num>
  <w:num w:numId="27">
    <w:abstractNumId w:val="11"/>
  </w:num>
  <w:num w:numId="28">
    <w:abstractNumId w:val="33"/>
  </w:num>
  <w:num w:numId="29">
    <w:abstractNumId w:val="34"/>
  </w:num>
  <w:num w:numId="30">
    <w:abstractNumId w:val="36"/>
  </w:num>
  <w:num w:numId="31">
    <w:abstractNumId w:val="32"/>
  </w:num>
  <w:num w:numId="32">
    <w:abstractNumId w:val="1"/>
  </w:num>
  <w:num w:numId="33">
    <w:abstractNumId w:val="9"/>
  </w:num>
  <w:num w:numId="34">
    <w:abstractNumId w:val="6"/>
  </w:num>
  <w:num w:numId="35">
    <w:abstractNumId w:val="19"/>
  </w:num>
  <w:num w:numId="36">
    <w:abstractNumId w:val="26"/>
  </w:num>
  <w:num w:numId="37">
    <w:abstractNumId w:val="16"/>
  </w:num>
  <w:num w:numId="3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acey, Jill">
    <w15:presenceInfo w15:providerId="AD" w15:userId="S-1-5-21-170422339-1359699126-1544898942-359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41"/>
    <w:rsid w:val="00013847"/>
    <w:rsid w:val="000A69EF"/>
    <w:rsid w:val="00140385"/>
    <w:rsid w:val="00203D7B"/>
    <w:rsid w:val="002534E3"/>
    <w:rsid w:val="00262F0C"/>
    <w:rsid w:val="00333141"/>
    <w:rsid w:val="00347EBF"/>
    <w:rsid w:val="00383B2C"/>
    <w:rsid w:val="003E192C"/>
    <w:rsid w:val="00480807"/>
    <w:rsid w:val="00524FB7"/>
    <w:rsid w:val="00533CAA"/>
    <w:rsid w:val="005B6756"/>
    <w:rsid w:val="005F4357"/>
    <w:rsid w:val="0062101F"/>
    <w:rsid w:val="006747AA"/>
    <w:rsid w:val="00904A82"/>
    <w:rsid w:val="00986354"/>
    <w:rsid w:val="00A14B4D"/>
    <w:rsid w:val="00A33B13"/>
    <w:rsid w:val="00A755FE"/>
    <w:rsid w:val="00AA0634"/>
    <w:rsid w:val="00AF3C6F"/>
    <w:rsid w:val="00B302A5"/>
    <w:rsid w:val="00B50C2A"/>
    <w:rsid w:val="00BF1BEE"/>
    <w:rsid w:val="00C35EA5"/>
    <w:rsid w:val="00D814B3"/>
    <w:rsid w:val="00DA52BB"/>
    <w:rsid w:val="00F669C9"/>
    <w:rsid w:val="00F72E40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AA8EC0"/>
  <w15:docId w15:val="{6EB5D9CF-693F-4A16-835C-FB265E91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1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101F"/>
    <w:pPr>
      <w:keepNext/>
      <w:keepLines/>
      <w:spacing w:after="240" w:line="240" w:lineRule="auto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aliases w:val="PolicyHeading 2"/>
    <w:basedOn w:val="Normal"/>
    <w:next w:val="PolicyText1"/>
    <w:link w:val="Heading2Char"/>
    <w:autoRedefine/>
    <w:uiPriority w:val="9"/>
    <w:unhideWhenUsed/>
    <w:qFormat/>
    <w:rsid w:val="0062101F"/>
    <w:pPr>
      <w:keepNext/>
      <w:keepLines/>
      <w:numPr>
        <w:numId w:val="38"/>
      </w:numPr>
      <w:spacing w:after="240" w:line="240" w:lineRule="auto"/>
      <w:ind w:left="360" w:hanging="36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Heading3">
    <w:name w:val="heading 3"/>
    <w:aliases w:val="PolicyHeading 3"/>
    <w:basedOn w:val="Normal"/>
    <w:next w:val="PolicyText2"/>
    <w:link w:val="Heading3Char"/>
    <w:autoRedefine/>
    <w:uiPriority w:val="9"/>
    <w:unhideWhenUsed/>
    <w:qFormat/>
    <w:rsid w:val="0062101F"/>
    <w:pPr>
      <w:keepNext/>
      <w:keepLines/>
      <w:numPr>
        <w:numId w:val="21"/>
      </w:numPr>
      <w:spacing w:after="240" w:line="240" w:lineRule="auto"/>
      <w:ind w:right="720"/>
      <w:outlineLvl w:val="2"/>
    </w:pPr>
    <w:rPr>
      <w:rFonts w:ascii="Arial" w:eastAsiaTheme="majorEastAsia" w:hAnsi="Arial" w:cstheme="majorBidi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  <w:rsid w:val="0062101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2101F"/>
  </w:style>
  <w:style w:type="paragraph" w:styleId="Header">
    <w:name w:val="header"/>
    <w:basedOn w:val="Normal"/>
    <w:link w:val="HeaderChar"/>
    <w:uiPriority w:val="99"/>
    <w:unhideWhenUsed/>
    <w:rsid w:val="0062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01F"/>
  </w:style>
  <w:style w:type="paragraph" w:styleId="Footer">
    <w:name w:val="footer"/>
    <w:basedOn w:val="Normal"/>
    <w:link w:val="FooterChar"/>
    <w:uiPriority w:val="99"/>
    <w:unhideWhenUsed/>
    <w:rsid w:val="0062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01F"/>
  </w:style>
  <w:style w:type="paragraph" w:styleId="BalloonText">
    <w:name w:val="Balloon Text"/>
    <w:basedOn w:val="Normal"/>
    <w:link w:val="BalloonTextChar"/>
    <w:uiPriority w:val="99"/>
    <w:semiHidden/>
    <w:unhideWhenUsed/>
    <w:rsid w:val="00621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0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10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2101F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aliases w:val="PolicyHeading 2 Char"/>
    <w:basedOn w:val="DefaultParagraphFont"/>
    <w:link w:val="Heading2"/>
    <w:uiPriority w:val="9"/>
    <w:rsid w:val="0062101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aliases w:val="PolicyHeading 3 Char"/>
    <w:basedOn w:val="DefaultParagraphFont"/>
    <w:link w:val="Heading3"/>
    <w:uiPriority w:val="9"/>
    <w:rsid w:val="0062101F"/>
    <w:rPr>
      <w:rFonts w:ascii="Arial" w:eastAsiaTheme="majorEastAsia" w:hAnsi="Arial" w:cstheme="majorBidi"/>
      <w:b/>
      <w:bCs/>
      <w:sz w:val="20"/>
    </w:rPr>
  </w:style>
  <w:style w:type="paragraph" w:styleId="ListParagraph">
    <w:name w:val="List Paragraph"/>
    <w:basedOn w:val="Normal"/>
    <w:uiPriority w:val="34"/>
    <w:qFormat/>
    <w:rsid w:val="0062101F"/>
    <w:pPr>
      <w:ind w:left="720"/>
      <w:contextualSpacing/>
    </w:pPr>
  </w:style>
  <w:style w:type="table" w:styleId="TableGrid">
    <w:name w:val="Table Grid"/>
    <w:basedOn w:val="TableNormal"/>
    <w:uiPriority w:val="39"/>
    <w:rsid w:val="0062101F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0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634"/>
    <w:rPr>
      <w:b/>
      <w:bCs/>
      <w:sz w:val="20"/>
      <w:szCs w:val="20"/>
    </w:rPr>
  </w:style>
  <w:style w:type="paragraph" w:customStyle="1" w:styleId="PolicyText1">
    <w:name w:val="PolicyText1"/>
    <w:basedOn w:val="Normal"/>
    <w:qFormat/>
    <w:rsid w:val="0062101F"/>
    <w:pPr>
      <w:spacing w:after="240" w:line="240" w:lineRule="auto"/>
    </w:pPr>
    <w:rPr>
      <w:rFonts w:ascii="Arial" w:hAnsi="Arial" w:cs="Arial"/>
      <w:sz w:val="20"/>
      <w:szCs w:val="20"/>
    </w:rPr>
  </w:style>
  <w:style w:type="paragraph" w:customStyle="1" w:styleId="PolicyText2">
    <w:name w:val="PolicyText2"/>
    <w:basedOn w:val="Normal"/>
    <w:autoRedefine/>
    <w:qFormat/>
    <w:rsid w:val="0062101F"/>
    <w:pPr>
      <w:spacing w:after="240" w:line="240" w:lineRule="auto"/>
      <w:ind w:left="360" w:right="720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cey_J\Documents\Custom%20Office%20Templates\IT%20Polic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 Policy Template</Template>
  <TotalTime>33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CDE IT Security Policies – Workstation Hardening</vt:lpstr>
    </vt:vector>
  </TitlesOfParts>
  <Company>Hewlett-Packard Company</Company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Hardening Policy</dc:title>
  <dc:creator>Pat Bush</dc:creator>
  <cp:lastModifiedBy>Stacey, Jill</cp:lastModifiedBy>
  <cp:revision>11</cp:revision>
  <dcterms:created xsi:type="dcterms:W3CDTF">2016-11-17T17:37:00Z</dcterms:created>
  <dcterms:modified xsi:type="dcterms:W3CDTF">2017-02-28T16:31:00Z</dcterms:modified>
</cp:coreProperties>
</file>