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ADR-001: MongoDB to AWS Migration</w:t>
      </w:r>
    </w:p>
    <w:p>
      <w:pPr>
        <w:jc w:val="center"/>
      </w:pPr>
      <w:r>
        <w:rPr>
          <w:sz w:val="22"/>
        </w:rPr>
        <w:t>Boardroom-grade ADR with updated visuals and directional cost framing</w:t>
      </w:r>
    </w:p>
    <w:p>
      <w:pPr>
        <w:pStyle w:val="Heading1"/>
      </w:pPr>
      <w:r>
        <w:t>Executive Summary</w:t>
      </w:r>
    </w:p>
    <w:p>
      <w:r>
        <w:t>This ADR recommends migrating MongoDB workloads to an AWS-native polyglot architecture using Amazon RDS for PostgreSQL as the system of record and Amazon OpenSearch Service as the search layer. Amazon DocumentDB may be used as a transitional bridge when migration simplification is the dominant near-term requirement.</w:t>
      </w:r>
    </w:p>
    <w:p>
      <w:pPr>
        <w:pStyle w:val="Heading1"/>
      </w:pPr>
      <w:r>
        <w:t>Target Reference Architecture</w:t>
      </w:r>
    </w:p>
    <w:p>
      <w:r>
        <w:drawing>
          <wp:inline xmlns:a="http://schemas.openxmlformats.org/drawingml/2006/main" xmlns:pic="http://schemas.openxmlformats.org/drawingml/2006/picture">
            <wp:extent cx="6217920" cy="34975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v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9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Decision Framework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ision_framework_v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Directional Cost and Value Model</w:t>
      </w:r>
    </w:p>
    <w:p>
      <w:r>
        <w:drawing>
          <wp:inline xmlns:a="http://schemas.openxmlformats.org/drawingml/2006/main" xmlns:pic="http://schemas.openxmlformats.org/drawingml/2006/picture">
            <wp:extent cx="6217920" cy="3730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value_model_v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Decision Drivers</w:t>
      </w:r>
    </w:p>
    <w:p>
      <w:pPr>
        <w:pStyle w:val="ListBullet"/>
      </w:pPr>
      <w:r>
        <w:t>Regulatory compliance and auditability</w:t>
      </w:r>
    </w:p>
    <w:p>
      <w:pPr>
        <w:pStyle w:val="ListBullet"/>
      </w:pPr>
      <w:r>
        <w:t>Full-text search quality and flexibility</w:t>
      </w:r>
    </w:p>
    <w:p>
      <w:pPr>
        <w:pStyle w:val="ListBullet"/>
      </w:pPr>
      <w:r>
        <w:t>Backup and restore maturity</w:t>
      </w:r>
    </w:p>
    <w:p>
      <w:pPr>
        <w:pStyle w:val="ListBullet"/>
      </w:pPr>
      <w:r>
        <w:t>Data governance and reporting capability</w:t>
      </w:r>
    </w:p>
    <w:p>
      <w:pPr>
        <w:pStyle w:val="ListBullet"/>
      </w:pPr>
      <w:r>
        <w:t>Migration speed versus long-term target-state quality</w:t>
      </w:r>
    </w:p>
    <w:p>
      <w:pPr>
        <w:pStyle w:val="Heading1"/>
      </w:pPr>
      <w:r>
        <w:t>Recommendation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Track</w:t>
            </w:r>
          </w:p>
        </w:tc>
        <w:tc>
          <w:tcPr>
            <w:tcW w:type="dxa" w:w="4968"/>
          </w:tcPr>
          <w:p>
            <w:r>
              <w:t>Position</w:t>
            </w:r>
          </w:p>
        </w:tc>
      </w:tr>
      <w:tr>
        <w:tc>
          <w:tcPr>
            <w:tcW w:type="dxa" w:w="4968"/>
          </w:tcPr>
          <w:p>
            <w:r>
              <w:t>Target state</w:t>
            </w:r>
          </w:p>
        </w:tc>
        <w:tc>
          <w:tcPr>
            <w:tcW w:type="dxa" w:w="4968"/>
          </w:tcPr>
          <w:p>
            <w:r>
              <w:t>RDS PostgreSQL + OpenSearch</w:t>
            </w:r>
          </w:p>
        </w:tc>
      </w:tr>
      <w:tr>
        <w:tc>
          <w:tcPr>
            <w:tcW w:type="dxa" w:w="4968"/>
          </w:tcPr>
          <w:p>
            <w:r>
              <w:t>Bridge option</w:t>
            </w:r>
          </w:p>
        </w:tc>
        <w:tc>
          <w:tcPr>
            <w:tcW w:type="dxa" w:w="4968"/>
          </w:tcPr>
          <w:p>
            <w:r>
              <w:t>DocumentDB only when migration friction is the primary concern</w:t>
            </w:r>
          </w:p>
        </w:tc>
      </w:tr>
    </w:tbl>
    <w:p>
      <w:pPr>
        <w:pStyle w:val="Heading1"/>
      </w:pPr>
      <w:r>
        <w:t>Migration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Phase</w:t>
            </w:r>
          </w:p>
        </w:tc>
        <w:tc>
          <w:tcPr>
            <w:tcW w:type="dxa" w:w="4968"/>
          </w:tcPr>
          <w:p>
            <w:r>
              <w:t>Description</w:t>
            </w:r>
          </w:p>
        </w:tc>
      </w:tr>
      <w:tr>
        <w:tc>
          <w:tcPr>
            <w:tcW w:type="dxa" w:w="4968"/>
          </w:tcPr>
          <w:p>
            <w:r>
              <w:t>Assess</w:t>
            </w:r>
          </w:p>
        </w:tc>
        <w:tc>
          <w:tcPr>
            <w:tcW w:type="dxa" w:w="4968"/>
          </w:tcPr>
          <w:p>
            <w:r>
              <w:t>Inventory MongoDB clusters, collections, query patterns, and search usage.</w:t>
            </w:r>
          </w:p>
        </w:tc>
      </w:tr>
      <w:tr>
        <w:tc>
          <w:tcPr>
            <w:tcW w:type="dxa" w:w="4968"/>
          </w:tcPr>
          <w:p>
            <w:r>
              <w:t>Design</w:t>
            </w:r>
          </w:p>
        </w:tc>
        <w:tc>
          <w:tcPr>
            <w:tcW w:type="dxa" w:w="4968"/>
          </w:tcPr>
          <w:p>
            <w:r>
              <w:t>Define the RDS target model, OpenSearch index model, and CDC path.</w:t>
            </w:r>
          </w:p>
        </w:tc>
      </w:tr>
      <w:tr>
        <w:tc>
          <w:tcPr>
            <w:tcW w:type="dxa" w:w="4968"/>
          </w:tcPr>
          <w:p>
            <w:r>
              <w:t>Build</w:t>
            </w:r>
          </w:p>
        </w:tc>
        <w:tc>
          <w:tcPr>
            <w:tcW w:type="dxa" w:w="4968"/>
          </w:tcPr>
          <w:p>
            <w:r>
              <w:t>Stand up RDS, CDC services, monitoring, and OpenSearch.</w:t>
            </w:r>
          </w:p>
        </w:tc>
      </w:tr>
      <w:tr>
        <w:tc>
          <w:tcPr>
            <w:tcW w:type="dxa" w:w="4968"/>
          </w:tcPr>
          <w:p>
            <w:r>
              <w:t>Migrate</w:t>
            </w:r>
          </w:p>
        </w:tc>
        <w:tc>
          <w:tcPr>
            <w:tcW w:type="dxa" w:w="4968"/>
          </w:tcPr>
          <w:p>
            <w:r>
              <w:t>Run bulk migration plus incremental synchronization.</w:t>
            </w:r>
          </w:p>
        </w:tc>
      </w:tr>
      <w:tr>
        <w:tc>
          <w:tcPr>
            <w:tcW w:type="dxa" w:w="4968"/>
          </w:tcPr>
          <w:p>
            <w:r>
              <w:t>Refactor</w:t>
            </w:r>
          </w:p>
        </w:tc>
        <w:tc>
          <w:tcPr>
            <w:tcW w:type="dxa" w:w="4968"/>
          </w:tcPr>
          <w:p>
            <w:r>
              <w:t>Update application reads, writes, and search calls.</w:t>
            </w:r>
          </w:p>
        </w:tc>
      </w:tr>
      <w:tr>
        <w:tc>
          <w:tcPr>
            <w:tcW w:type="dxa" w:w="4968"/>
          </w:tcPr>
          <w:p>
            <w:r>
              <w:t>Cut over</w:t>
            </w:r>
          </w:p>
        </w:tc>
        <w:tc>
          <w:tcPr>
            <w:tcW w:type="dxa" w:w="4968"/>
          </w:tcPr>
          <w:p>
            <w:r>
              <w:t>Switch traffic, verify reconciliation, and retire MongoDB.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