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chunking_strategies</w:t>
      </w:r>
    </w:p>
    <w:p/>
    <w:p>
      <w:r>
        <w:t>*This notebook is too large to parse completely. Please refer to the original Jupyter notebook file for complete content.*</w:t>
      </w:r>
    </w:p>
    <w:p/>
    <w:p>
      <w:r>
        <w:t>The file `/Users/vinotganesan/Learning/LLM &amp; AGENTS/RAG/chunking_strategies.ipynb` contains comprehensive strategies for text chunking in RAG systems, covering various splitting techniques and their trade-offs.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DB0EA0-9709-4A00-8D22-5E0A943A4727}"/>
</file>

<file path=customXml/itemProps3.xml><?xml version="1.0" encoding="utf-8"?>
<ds:datastoreItem xmlns:ds="http://schemas.openxmlformats.org/officeDocument/2006/customXml" ds:itemID="{7EFA1ED7-3764-47EC-BA49-282AB764D00E}"/>
</file>

<file path=customXml/itemProps4.xml><?xml version="1.0" encoding="utf-8"?>
<ds:datastoreItem xmlns:ds="http://schemas.openxmlformats.org/officeDocument/2006/customXml" ds:itemID="{75E35BA5-0A9D-4F75-A28A-BE93D1B682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