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graphrag_implementation</w:t>
      </w:r>
    </w:p>
    <w:p/>
    <w:p>
      <w:r>
        <w:t>*This notebook is too large to parse completely. Please refer to the original Jupyter notebook file for complete content.*</w:t>
      </w:r>
    </w:p>
    <w:p/>
    <w:p>
      <w:r>
        <w:t>The file `/Users/vinotganesan/Learning/LLM &amp; AGENTS/RAG/graphrag_implementation.ipynb` contains implementation details for graph-based RAG systems, including knowledge graph construction and traversal techniques.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C3402F-4575-45F7-9B0E-9DEF291C0CD4}"/>
</file>

<file path=customXml/itemProps3.xml><?xml version="1.0" encoding="utf-8"?>
<ds:datastoreItem xmlns:ds="http://schemas.openxmlformats.org/officeDocument/2006/customXml" ds:itemID="{9A30EF33-DB1D-4754-B4A6-DD4E13D8CFF2}"/>
</file>

<file path=customXml/itemProps4.xml><?xml version="1.0" encoding="utf-8"?>
<ds:datastoreItem xmlns:ds="http://schemas.openxmlformats.org/officeDocument/2006/customXml" ds:itemID="{AF3E5E4F-2A19-41E7-9EF8-0922E83D97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